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28A4" w:rsidRDefault="00F712FF">
      <w:r>
        <w:t xml:space="preserve">Chapitre II : </w:t>
      </w:r>
    </w:p>
    <w:p w:rsidR="00F712FF" w:rsidRDefault="00F712FF" w:rsidP="00F712FF">
      <w:pPr>
        <w:autoSpaceDE w:val="0"/>
        <w:autoSpaceDN w:val="0"/>
        <w:adjustRightInd w:val="0"/>
        <w:spacing w:after="0" w:line="240" w:lineRule="auto"/>
        <w:rPr>
          <w:rFonts w:ascii="CenturySchoolbook" w:hAnsi="CenturySchoolbook" w:cs="CenturySchoolbook"/>
        </w:rPr>
      </w:pPr>
      <w:r>
        <w:rPr>
          <w:rFonts w:ascii="CenturySchoolbook" w:hAnsi="CenturySchoolbook" w:cs="CenturySchoolbook"/>
        </w:rPr>
        <w:t xml:space="preserve">Ce chapitre a pour objectif de présenter l’état de l’art dans le domaine des procédés aux grandes déformations. La première partie permettra d’introduire quelques-uns de ces principaux procédés. Nous poursuivrons par les différentes microstructures obtenues avec ces méthodes ainsi que les propriétés mécaniques obtenues. Nous continuerons par une brève présentation des différents modèles </w:t>
      </w:r>
      <w:proofErr w:type="spellStart"/>
      <w:r>
        <w:rPr>
          <w:rFonts w:ascii="CenturySchoolbook" w:hAnsi="CenturySchoolbook" w:cs="CenturySchoolbook"/>
        </w:rPr>
        <w:t>polycristallins</w:t>
      </w:r>
      <w:proofErr w:type="spellEnd"/>
      <w:r>
        <w:rPr>
          <w:rFonts w:ascii="CenturySchoolbook" w:hAnsi="CenturySchoolbook" w:cs="CenturySchoolbook"/>
        </w:rPr>
        <w:t>. Pour finir, quelques modèles décrivant l’affinement de la microstructure à travers les procédés de grandes déformations seront décrits.</w:t>
      </w:r>
    </w:p>
    <w:p w:rsidR="00F712FF" w:rsidRDefault="00F712FF" w:rsidP="00F712FF">
      <w:pPr>
        <w:autoSpaceDE w:val="0"/>
        <w:autoSpaceDN w:val="0"/>
        <w:adjustRightInd w:val="0"/>
        <w:spacing w:after="0" w:line="240" w:lineRule="auto"/>
        <w:rPr>
          <w:rFonts w:ascii="CenturySchoolbook" w:hAnsi="CenturySchoolbook" w:cs="CenturySchoolbook"/>
        </w:rPr>
      </w:pPr>
      <w:r>
        <w:rPr>
          <w:rFonts w:ascii="CenturySchoolbook" w:hAnsi="CenturySchoolbook" w:cs="CenturySchoolbook"/>
        </w:rPr>
        <w:t>Etant donné l’étendue des données dans ce domaine, de nombreuses approches seront abordées mais nous mettrons en exergue certains points utiles à la suite de l’étude ou importants à mes yeux.</w:t>
      </w:r>
    </w:p>
    <w:p w:rsidR="00F712FF" w:rsidRDefault="00F712FF" w:rsidP="00F712FF">
      <w:pPr>
        <w:autoSpaceDE w:val="0"/>
        <w:autoSpaceDN w:val="0"/>
        <w:adjustRightInd w:val="0"/>
        <w:spacing w:after="0" w:line="240" w:lineRule="auto"/>
        <w:rPr>
          <w:rFonts w:ascii="CenturySchoolbook-Bold" w:hAnsi="CenturySchoolbook-Bold" w:cs="CenturySchoolbook-Bold"/>
          <w:b/>
          <w:bCs/>
          <w:color w:val="000000"/>
          <w:sz w:val="32"/>
          <w:szCs w:val="32"/>
        </w:rPr>
      </w:pPr>
    </w:p>
    <w:p w:rsidR="00F712FF" w:rsidRDefault="00F712FF" w:rsidP="00F712FF">
      <w:pPr>
        <w:autoSpaceDE w:val="0"/>
        <w:autoSpaceDN w:val="0"/>
        <w:adjustRightInd w:val="0"/>
        <w:spacing w:after="0" w:line="240" w:lineRule="auto"/>
        <w:rPr>
          <w:rFonts w:ascii="CenturySchoolbook-Bold" w:hAnsi="CenturySchoolbook-Bold" w:cs="CenturySchoolbook-Bold"/>
          <w:b/>
          <w:bCs/>
          <w:color w:val="000000"/>
          <w:sz w:val="32"/>
          <w:szCs w:val="32"/>
        </w:rPr>
      </w:pPr>
      <w:r>
        <w:rPr>
          <w:rFonts w:ascii="CenturySchoolbook-Bold" w:hAnsi="CenturySchoolbook-Bold" w:cs="CenturySchoolbook-Bold"/>
          <w:b/>
          <w:bCs/>
          <w:color w:val="000000"/>
          <w:sz w:val="32"/>
          <w:szCs w:val="32"/>
        </w:rPr>
        <w:t>1.1 Procédés d’affinement des microstructures</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Au regard des techniques permettant d’affiner la microstructure, les procédés à grandes déformations plastiques (</w:t>
      </w:r>
      <w:proofErr w:type="spellStart"/>
      <w:r>
        <w:rPr>
          <w:rFonts w:ascii="CenturySchoolbook" w:hAnsi="CenturySchoolbook" w:cs="CenturySchoolbook"/>
          <w:color w:val="000000"/>
        </w:rPr>
        <w:t>Severe</w:t>
      </w:r>
      <w:proofErr w:type="spellEnd"/>
      <w:r>
        <w:rPr>
          <w:rFonts w:ascii="CenturySchoolbook" w:hAnsi="CenturySchoolbook" w:cs="CenturySchoolbook"/>
          <w:color w:val="000000"/>
        </w:rPr>
        <w:t xml:space="preserve"> Plastic </w:t>
      </w:r>
      <w:proofErr w:type="spellStart"/>
      <w:r>
        <w:rPr>
          <w:rFonts w:ascii="CenturySchoolbook" w:hAnsi="CenturySchoolbook" w:cs="CenturySchoolbook"/>
          <w:color w:val="000000"/>
        </w:rPr>
        <w:t>Deformation</w:t>
      </w:r>
      <w:proofErr w:type="spellEnd"/>
      <w:r>
        <w:rPr>
          <w:rFonts w:ascii="CenturySchoolbook" w:hAnsi="CenturySchoolbook" w:cs="CenturySchoolbook"/>
          <w:color w:val="000000"/>
        </w:rPr>
        <w:t xml:space="preserve"> – SPD) sont particulièrement attractifs. L’affinement de grains est possible pour des matériaux massifs qui permettraient des applications industrielles. Les tailles de grains obtenus avec ces procédés sont comprises entre 200 nm et 1 </w:t>
      </w:r>
      <w:proofErr w:type="spellStart"/>
      <w:r>
        <w:rPr>
          <w:rFonts w:cs="Calibri"/>
          <w:color w:val="000000"/>
        </w:rPr>
        <w:t>μ</w:t>
      </w:r>
      <w:r>
        <w:rPr>
          <w:rFonts w:ascii="CenturySchoolbook" w:hAnsi="CenturySchoolbook" w:cs="CenturySchoolbook"/>
          <w:color w:val="000000"/>
        </w:rPr>
        <w:t>m</w:t>
      </w:r>
      <w:proofErr w:type="spellEnd"/>
      <w:r>
        <w:rPr>
          <w:rFonts w:ascii="CenturySchoolbook" w:hAnsi="CenturySchoolbook" w:cs="CenturySchoolbook"/>
          <w:color w:val="000000"/>
        </w:rPr>
        <w:t>.</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Les premiers travaux ont été réalisés par Bridgman (</w:t>
      </w:r>
      <w:r>
        <w:rPr>
          <w:rFonts w:ascii="CenturySchoolbook" w:hAnsi="CenturySchoolbook" w:cs="CenturySchoolbook"/>
          <w:color w:val="0000FF"/>
        </w:rPr>
        <w:t>1943</w:t>
      </w:r>
      <w:r>
        <w:rPr>
          <w:rFonts w:ascii="CenturySchoolbook" w:hAnsi="CenturySchoolbook" w:cs="CenturySchoolbook"/>
          <w:color w:val="000000"/>
        </w:rPr>
        <w:t xml:space="preserve">), </w:t>
      </w:r>
      <w:proofErr w:type="spellStart"/>
      <w:r>
        <w:rPr>
          <w:rFonts w:ascii="CenturySchoolbook" w:hAnsi="CenturySchoolbook" w:cs="CenturySchoolbook"/>
          <w:color w:val="000000"/>
        </w:rPr>
        <w:t>Langford</w:t>
      </w:r>
      <w:proofErr w:type="spellEnd"/>
      <w:r>
        <w:rPr>
          <w:rFonts w:ascii="CenturySchoolbook" w:hAnsi="CenturySchoolbook" w:cs="CenturySchoolbook"/>
          <w:color w:val="000000"/>
        </w:rPr>
        <w:t xml:space="preserve"> &amp; Cohen (</w:t>
      </w:r>
      <w:r>
        <w:rPr>
          <w:rFonts w:ascii="CenturySchoolbook" w:hAnsi="CenturySchoolbook" w:cs="CenturySchoolbook"/>
          <w:color w:val="0000FF"/>
        </w:rPr>
        <w:t>1969</w:t>
      </w:r>
      <w:r>
        <w:rPr>
          <w:rFonts w:ascii="CenturySchoolbook" w:hAnsi="CenturySchoolbook" w:cs="CenturySchoolbook"/>
          <w:color w:val="000000"/>
        </w:rPr>
        <w:t>), et Rack &amp; Cohen (</w:t>
      </w:r>
      <w:r>
        <w:rPr>
          <w:rFonts w:ascii="CenturySchoolbook" w:hAnsi="CenturySchoolbook" w:cs="CenturySchoolbook"/>
          <w:color w:val="0000FF"/>
        </w:rPr>
        <w:t>1970</w:t>
      </w:r>
      <w:r>
        <w:rPr>
          <w:rFonts w:ascii="CenturySchoolbook" w:hAnsi="CenturySchoolbook" w:cs="CenturySchoolbook"/>
          <w:color w:val="000000"/>
        </w:rPr>
        <w:t>) où des aciers soumis à de très importantes déformations combinés à de grandes pressions hydrostatiques ont subi un affinement de leur microstructure (200-500 nm).</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Les deux principales caractéristiques des procédés de SPD sont :</w:t>
      </w:r>
    </w:p>
    <w:p w:rsidR="00F712FF" w:rsidRDefault="00F712FF" w:rsidP="003D4EC8">
      <w:pPr>
        <w:autoSpaceDE w:val="0"/>
        <w:autoSpaceDN w:val="0"/>
        <w:adjustRightInd w:val="0"/>
        <w:spacing w:after="0" w:line="240" w:lineRule="auto"/>
        <w:rPr>
          <w:rFonts w:ascii="CenturySchoolbook" w:hAnsi="CenturySchoolbook" w:cs="CenturySchoolbook"/>
          <w:color w:val="000000"/>
        </w:rPr>
      </w:pPr>
      <w:r>
        <w:rPr>
          <w:rFonts w:ascii="SymbolMT" w:eastAsia="SymbolMT" w:hAnsi="CenturySchoolbook-Bold" w:cs="SymbolMT" w:hint="eastAsia"/>
          <w:color w:val="000000"/>
        </w:rPr>
        <w:t></w:t>
      </w:r>
      <w:r>
        <w:rPr>
          <w:rFonts w:ascii="SymbolMT" w:eastAsia="SymbolMT" w:hAnsi="CenturySchoolbook-Bold" w:cs="SymbolMT"/>
          <w:color w:val="000000"/>
        </w:rPr>
        <w:t xml:space="preserve"> </w:t>
      </w:r>
      <w:r w:rsidR="003D4EC8">
        <w:rPr>
          <w:rFonts w:ascii="CenturySchoolbook" w:hAnsi="CenturySchoolbook" w:cs="CenturySchoolbook"/>
          <w:color w:val="000000"/>
        </w:rPr>
        <w:t>De</w:t>
      </w:r>
      <w:r>
        <w:rPr>
          <w:rFonts w:ascii="CenturySchoolbook" w:hAnsi="CenturySchoolbook" w:cs="CenturySchoolbook"/>
          <w:color w:val="000000"/>
        </w:rPr>
        <w:t xml:space="preserve"> grandes déformations appliquées à l’échant</w:t>
      </w:r>
      <w:r w:rsidR="003D4EC8">
        <w:rPr>
          <w:rFonts w:ascii="CenturySchoolbook" w:hAnsi="CenturySchoolbook" w:cs="CenturySchoolbook"/>
          <w:color w:val="000000"/>
        </w:rPr>
        <w:t xml:space="preserve">illon ne changeant pas </w:t>
      </w:r>
      <w:proofErr w:type="gramStart"/>
      <w:r w:rsidR="003D4EC8">
        <w:rPr>
          <w:rFonts w:ascii="CenturySchoolbook" w:hAnsi="CenturySchoolbook" w:cs="CenturySchoolbook"/>
          <w:color w:val="000000"/>
        </w:rPr>
        <w:t>sa</w:t>
      </w:r>
      <w:proofErr w:type="gramEnd"/>
      <w:r w:rsidR="003D4EC8">
        <w:rPr>
          <w:rFonts w:ascii="CenturySchoolbook" w:hAnsi="CenturySchoolbook" w:cs="CenturySchoolbook"/>
          <w:color w:val="000000"/>
        </w:rPr>
        <w:t xml:space="preserve"> forme </w:t>
      </w:r>
      <w:r>
        <w:rPr>
          <w:rFonts w:ascii="CenturySchoolbook" w:hAnsi="CenturySchoolbook" w:cs="CenturySchoolbook"/>
          <w:color w:val="000000"/>
        </w:rPr>
        <w:t>initiale.</w:t>
      </w:r>
    </w:p>
    <w:p w:rsidR="003D4EC8" w:rsidRDefault="00F712FF" w:rsidP="003D4EC8">
      <w:pPr>
        <w:autoSpaceDE w:val="0"/>
        <w:autoSpaceDN w:val="0"/>
        <w:adjustRightInd w:val="0"/>
        <w:spacing w:after="0" w:line="240" w:lineRule="auto"/>
        <w:rPr>
          <w:rFonts w:ascii="CenturySchoolbook" w:hAnsi="CenturySchoolbook" w:cs="CenturySchoolbook"/>
          <w:color w:val="000000"/>
        </w:rPr>
      </w:pPr>
      <w:r>
        <w:rPr>
          <w:rFonts w:ascii="SymbolMT" w:eastAsia="SymbolMT" w:hAnsi="CenturySchoolbook-Bold" w:cs="SymbolMT" w:hint="eastAsia"/>
          <w:color w:val="000000"/>
        </w:rPr>
        <w:t></w:t>
      </w:r>
      <w:r>
        <w:rPr>
          <w:rFonts w:ascii="SymbolMT" w:eastAsia="SymbolMT" w:hAnsi="CenturySchoolbook-Bold" w:cs="SymbolMT"/>
          <w:color w:val="000000"/>
        </w:rPr>
        <w:t xml:space="preserve"> </w:t>
      </w:r>
      <w:r w:rsidR="003D4EC8">
        <w:rPr>
          <w:rFonts w:ascii="CenturySchoolbook" w:hAnsi="CenturySchoolbook" w:cs="CenturySchoolbook"/>
          <w:color w:val="000000"/>
        </w:rPr>
        <w:t>Une</w:t>
      </w:r>
      <w:r>
        <w:rPr>
          <w:rFonts w:ascii="CenturySchoolbook" w:hAnsi="CenturySchoolbook" w:cs="CenturySchoolbook"/>
          <w:color w:val="000000"/>
        </w:rPr>
        <w:t xml:space="preserve"> pression hydrostatique imposée (définie par </w:t>
      </w:r>
      <m:oMath>
        <m:sSub>
          <m:sSubPr>
            <m:ctrlPr>
              <w:rPr>
                <w:rFonts w:ascii="Cambria Math" w:hAnsi="Cambria Math" w:cs="CenturySchoolbook"/>
                <w:i/>
                <w:color w:val="000000"/>
              </w:rPr>
            </m:ctrlPr>
          </m:sSubPr>
          <m:e>
            <m:r>
              <w:rPr>
                <w:rFonts w:ascii="Cambria Math" w:hAnsi="Cambria Math" w:cs="CenturySchoolbook"/>
                <w:color w:val="000000"/>
              </w:rPr>
              <m:t>σ</m:t>
            </m:r>
          </m:e>
          <m:sub>
            <m:r>
              <w:rPr>
                <w:rFonts w:ascii="Cambria Math" w:hAnsi="Cambria Math" w:cs="CenturySchoolbook"/>
                <w:color w:val="000000"/>
              </w:rPr>
              <m:t>h</m:t>
            </m:r>
          </m:sub>
        </m:sSub>
        <m:r>
          <w:rPr>
            <w:rFonts w:ascii="Cambria Math" w:hAnsi="Cambria Math" w:cs="CenturySchoolbook"/>
            <w:color w:val="000000"/>
          </w:rPr>
          <m:t>=</m:t>
        </m:r>
        <m:f>
          <m:fPr>
            <m:ctrlPr>
              <w:rPr>
                <w:rFonts w:ascii="Cambria Math" w:hAnsi="Cambria Math" w:cs="CenturySchoolbook"/>
                <w:i/>
                <w:color w:val="000000"/>
              </w:rPr>
            </m:ctrlPr>
          </m:fPr>
          <m:num>
            <m:sSub>
              <m:sSubPr>
                <m:ctrlPr>
                  <w:rPr>
                    <w:rFonts w:ascii="Cambria Math" w:hAnsi="Cambria Math" w:cs="CenturySchoolbook"/>
                    <w:i/>
                    <w:color w:val="000000"/>
                  </w:rPr>
                </m:ctrlPr>
              </m:sSubPr>
              <m:e>
                <m:r>
                  <w:rPr>
                    <w:rFonts w:ascii="Cambria Math" w:hAnsi="Cambria Math" w:cs="CenturySchoolbook"/>
                    <w:color w:val="000000"/>
                  </w:rPr>
                  <m:t>σ</m:t>
                </m:r>
              </m:e>
              <m:sub>
                <m:r>
                  <w:rPr>
                    <w:rFonts w:ascii="Cambria Math" w:hAnsi="Cambria Math" w:cs="CenturySchoolbook"/>
                    <w:color w:val="000000"/>
                  </w:rPr>
                  <m:t>ii</m:t>
                </m:r>
              </m:sub>
            </m:sSub>
          </m:num>
          <m:den>
            <m:r>
              <w:rPr>
                <w:rFonts w:ascii="Cambria Math" w:hAnsi="Cambria Math" w:cs="CenturySchoolbook"/>
                <w:color w:val="000000"/>
              </w:rPr>
              <m:t>3</m:t>
            </m:r>
          </m:den>
        </m:f>
        <m:r>
          <w:rPr>
            <w:rFonts w:ascii="Cambria Math" w:hAnsi="Cambria Math" w:cs="CenturySchoolbook"/>
            <w:color w:val="000000"/>
          </w:rPr>
          <m:t xml:space="preserve">  </m:t>
        </m:r>
      </m:oMath>
      <w:r>
        <w:rPr>
          <w:rFonts w:ascii="CenturySchoolbook" w:hAnsi="CenturySchoolbook" w:cs="CenturySchoolbook"/>
          <w:color w:val="000000"/>
        </w:rPr>
        <w:t xml:space="preserve">où </w:t>
      </w:r>
      <m:oMath>
        <m:sSub>
          <m:sSubPr>
            <m:ctrlPr>
              <w:rPr>
                <w:rFonts w:ascii="Cambria Math" w:hAnsi="Cambria Math" w:cs="CenturySchoolbook"/>
                <w:i/>
                <w:color w:val="000000"/>
              </w:rPr>
            </m:ctrlPr>
          </m:sSubPr>
          <m:e>
            <m:r>
              <w:rPr>
                <w:rFonts w:ascii="Cambria Math" w:hAnsi="Cambria Math" w:cs="CenturySchoolbook"/>
                <w:color w:val="000000"/>
              </w:rPr>
              <m:t>σ</m:t>
            </m:r>
          </m:e>
          <m:sub>
            <m:r>
              <w:rPr>
                <w:rFonts w:ascii="Cambria Math" w:hAnsi="Cambria Math" w:cs="CenturySchoolbook"/>
                <w:color w:val="000000"/>
              </w:rPr>
              <m:t>ii</m:t>
            </m:r>
          </m:sub>
        </m:sSub>
      </m:oMath>
      <w:r>
        <w:rPr>
          <w:rFonts w:ascii="SymbolMT" w:eastAsia="SymbolMT" w:hAnsi="CenturySchoolbook-Bold" w:cs="SymbolMT"/>
          <w:color w:val="000000"/>
          <w:sz w:val="24"/>
          <w:szCs w:val="24"/>
        </w:rPr>
        <w:t xml:space="preserve"> </w:t>
      </w:r>
      <w:proofErr w:type="gramStart"/>
      <w:r w:rsidR="003D4EC8">
        <w:rPr>
          <w:rFonts w:ascii="CenturySchoolbook" w:hAnsi="CenturySchoolbook" w:cs="CenturySchoolbook"/>
          <w:color w:val="000000"/>
        </w:rPr>
        <w:t>est</w:t>
      </w:r>
      <w:proofErr w:type="gramEnd"/>
      <w:r w:rsidR="003D4EC8">
        <w:rPr>
          <w:rFonts w:ascii="CenturySchoolbook" w:hAnsi="CenturySchoolbook" w:cs="CenturySchoolbook"/>
          <w:color w:val="000000"/>
        </w:rPr>
        <w:t xml:space="preserve"> la partie </w:t>
      </w:r>
      <w:r>
        <w:rPr>
          <w:rFonts w:ascii="CenturySchoolbook" w:hAnsi="CenturySchoolbook" w:cs="CenturySchoolbook"/>
          <w:color w:val="000000"/>
        </w:rPr>
        <w:t xml:space="preserve">symétrique du tenseur des contraintes). Cette dernière joue deux rôles : </w:t>
      </w:r>
    </w:p>
    <w:p w:rsidR="003D4EC8" w:rsidRPr="003D4EC8" w:rsidRDefault="00F712FF" w:rsidP="003D4EC8">
      <w:pPr>
        <w:pStyle w:val="Paragraphedeliste"/>
        <w:numPr>
          <w:ilvl w:val="0"/>
          <w:numId w:val="1"/>
        </w:numPr>
        <w:autoSpaceDE w:val="0"/>
        <w:autoSpaceDN w:val="0"/>
        <w:adjustRightInd w:val="0"/>
        <w:spacing w:after="0" w:line="240" w:lineRule="auto"/>
        <w:rPr>
          <w:rFonts w:ascii="CenturySchoolbook" w:hAnsi="CenturySchoolbook" w:cs="CenturySchoolbook"/>
          <w:color w:val="000000"/>
        </w:rPr>
      </w:pPr>
      <w:r w:rsidRPr="003D4EC8">
        <w:rPr>
          <w:rFonts w:ascii="CenturySchoolbook" w:hAnsi="CenturySchoolbook" w:cs="CenturySchoolbook"/>
          <w:color w:val="000000"/>
        </w:rPr>
        <w:t>assure un contact/frottement suffisant entre les outils et l’échantillon pour</w:t>
      </w:r>
      <w:r w:rsidR="003D4EC8">
        <w:rPr>
          <w:rFonts w:ascii="CenturySchoolbook" w:hAnsi="CenturySchoolbook" w:cs="CenturySchoolbook"/>
          <w:color w:val="000000"/>
        </w:rPr>
        <w:t xml:space="preserve"> </w:t>
      </w:r>
      <w:r w:rsidRPr="003D4EC8">
        <w:rPr>
          <w:rFonts w:ascii="CenturySchoolbook" w:hAnsi="CenturySchoolbook" w:cs="CenturySchoolbook"/>
          <w:color w:val="000000"/>
        </w:rPr>
        <w:t xml:space="preserve">appliquer la déformation (dans des procédés SPD pilotés par frottement) et </w:t>
      </w:r>
    </w:p>
    <w:p w:rsidR="00F712FF" w:rsidRPr="003D4EC8" w:rsidRDefault="00F712FF" w:rsidP="003D4EC8">
      <w:pPr>
        <w:pStyle w:val="Paragraphedeliste"/>
        <w:numPr>
          <w:ilvl w:val="0"/>
          <w:numId w:val="1"/>
        </w:numPr>
        <w:autoSpaceDE w:val="0"/>
        <w:autoSpaceDN w:val="0"/>
        <w:adjustRightInd w:val="0"/>
        <w:spacing w:after="0" w:line="240" w:lineRule="auto"/>
        <w:rPr>
          <w:rFonts w:ascii="CenturySchoolbook" w:hAnsi="CenturySchoolbook" w:cs="CenturySchoolbook"/>
          <w:color w:val="000000"/>
        </w:rPr>
      </w:pPr>
      <w:r w:rsidRPr="003D4EC8">
        <w:rPr>
          <w:rFonts w:ascii="CenturySchoolbook" w:hAnsi="CenturySchoolbook" w:cs="CenturySchoolbook"/>
          <w:color w:val="000000"/>
        </w:rPr>
        <w:t>permet de confiner l’échantillon pour éviter une localisation de la déformation</w:t>
      </w:r>
      <w:r w:rsidR="003D4EC8">
        <w:rPr>
          <w:rFonts w:ascii="CenturySchoolbook" w:hAnsi="CenturySchoolbook" w:cs="CenturySchoolbook"/>
          <w:color w:val="000000"/>
        </w:rPr>
        <w:t xml:space="preserve"> </w:t>
      </w:r>
      <w:r w:rsidRPr="003D4EC8">
        <w:rPr>
          <w:rFonts w:ascii="CenturySchoolbook" w:hAnsi="CenturySchoolbook" w:cs="CenturySchoolbook"/>
          <w:color w:val="000000"/>
        </w:rPr>
        <w:t>qui entrainerait la rupture du matériau.</w:t>
      </w:r>
    </w:p>
    <w:p w:rsidR="00F712FF" w:rsidRDefault="00F712FF" w:rsidP="003D4EC8">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Dans cette partie, nous nous intéresserons à la descript</w:t>
      </w:r>
      <w:r w:rsidR="003D4EC8">
        <w:rPr>
          <w:rFonts w:ascii="CenturySchoolbook" w:hAnsi="CenturySchoolbook" w:cs="CenturySchoolbook"/>
          <w:color w:val="000000"/>
        </w:rPr>
        <w:t xml:space="preserve">ion brève des procédés les plus </w:t>
      </w:r>
      <w:r>
        <w:rPr>
          <w:rFonts w:ascii="CenturySchoolbook" w:hAnsi="CenturySchoolbook" w:cs="CenturySchoolbook"/>
          <w:color w:val="000000"/>
        </w:rPr>
        <w:t>couramment utilisés.</w:t>
      </w:r>
    </w:p>
    <w:p w:rsidR="00F712FF" w:rsidRDefault="00F712FF" w:rsidP="00F712FF">
      <w:pPr>
        <w:autoSpaceDE w:val="0"/>
        <w:autoSpaceDN w:val="0"/>
        <w:adjustRightInd w:val="0"/>
        <w:spacing w:after="0" w:line="240" w:lineRule="auto"/>
        <w:rPr>
          <w:rFonts w:ascii="CenturySchoolbook-Bold" w:hAnsi="CenturySchoolbook-Bold" w:cs="CenturySchoolbook-Bold"/>
          <w:b/>
          <w:bCs/>
          <w:color w:val="000000"/>
          <w:sz w:val="28"/>
          <w:szCs w:val="28"/>
        </w:rPr>
      </w:pPr>
      <w:r>
        <w:rPr>
          <w:rFonts w:ascii="CenturySchoolbook-Bold" w:hAnsi="CenturySchoolbook-Bold" w:cs="CenturySchoolbook-Bold"/>
          <w:b/>
          <w:bCs/>
          <w:color w:val="000000"/>
          <w:sz w:val="28"/>
          <w:szCs w:val="28"/>
        </w:rPr>
        <w:t xml:space="preserve">1.1.1 </w:t>
      </w:r>
      <w:proofErr w:type="spellStart"/>
      <w:r>
        <w:rPr>
          <w:rFonts w:ascii="CenturySchoolbook-Bold" w:hAnsi="CenturySchoolbook-Bold" w:cs="CenturySchoolbook-Bold"/>
          <w:b/>
          <w:bCs/>
          <w:color w:val="000000"/>
          <w:sz w:val="28"/>
          <w:szCs w:val="28"/>
        </w:rPr>
        <w:t>Equal</w:t>
      </w:r>
      <w:proofErr w:type="spellEnd"/>
      <w:r>
        <w:rPr>
          <w:rFonts w:ascii="CenturySchoolbook-Bold" w:hAnsi="CenturySchoolbook-Bold" w:cs="CenturySchoolbook-Bold"/>
          <w:b/>
          <w:bCs/>
          <w:color w:val="000000"/>
          <w:sz w:val="28"/>
          <w:szCs w:val="28"/>
        </w:rPr>
        <w:t xml:space="preserve"> Channel </w:t>
      </w:r>
      <w:proofErr w:type="spellStart"/>
      <w:r>
        <w:rPr>
          <w:rFonts w:ascii="CenturySchoolbook-Bold" w:hAnsi="CenturySchoolbook-Bold" w:cs="CenturySchoolbook-Bold"/>
          <w:b/>
          <w:bCs/>
          <w:color w:val="000000"/>
          <w:sz w:val="28"/>
          <w:szCs w:val="28"/>
        </w:rPr>
        <w:t>Angular</w:t>
      </w:r>
      <w:proofErr w:type="spellEnd"/>
      <w:r>
        <w:rPr>
          <w:rFonts w:ascii="CenturySchoolbook-Bold" w:hAnsi="CenturySchoolbook-Bold" w:cs="CenturySchoolbook-Bold"/>
          <w:b/>
          <w:bCs/>
          <w:color w:val="000000"/>
          <w:sz w:val="28"/>
          <w:szCs w:val="28"/>
        </w:rPr>
        <w:t xml:space="preserve"> Extrusion</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 xml:space="preserve">Le procédé </w:t>
      </w:r>
      <w:proofErr w:type="spellStart"/>
      <w:r>
        <w:rPr>
          <w:rFonts w:ascii="CenturySchoolbook" w:hAnsi="CenturySchoolbook" w:cs="CenturySchoolbook"/>
          <w:color w:val="000000"/>
        </w:rPr>
        <w:t>Equal</w:t>
      </w:r>
      <w:proofErr w:type="spellEnd"/>
      <w:r>
        <w:rPr>
          <w:rFonts w:ascii="CenturySchoolbook" w:hAnsi="CenturySchoolbook" w:cs="CenturySchoolbook"/>
          <w:color w:val="000000"/>
        </w:rPr>
        <w:t xml:space="preserve"> Channel </w:t>
      </w:r>
      <w:proofErr w:type="spellStart"/>
      <w:r>
        <w:rPr>
          <w:rFonts w:ascii="CenturySchoolbook" w:hAnsi="CenturySchoolbook" w:cs="CenturySchoolbook"/>
          <w:color w:val="000000"/>
        </w:rPr>
        <w:t>Angular</w:t>
      </w:r>
      <w:proofErr w:type="spellEnd"/>
      <w:r>
        <w:rPr>
          <w:rFonts w:ascii="CenturySchoolbook" w:hAnsi="CenturySchoolbook" w:cs="CenturySchoolbook"/>
          <w:color w:val="000000"/>
        </w:rPr>
        <w:t xml:space="preserve"> Extrusion (ECAE) a été initialement développé</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proofErr w:type="gramStart"/>
      <w:r>
        <w:rPr>
          <w:rFonts w:ascii="CenturySchoolbook" w:hAnsi="CenturySchoolbook" w:cs="CenturySchoolbook"/>
          <w:color w:val="000000"/>
        </w:rPr>
        <w:t>par</w:t>
      </w:r>
      <w:proofErr w:type="gramEnd"/>
      <w:r>
        <w:rPr>
          <w:rFonts w:ascii="CenturySchoolbook" w:hAnsi="CenturySchoolbook" w:cs="CenturySchoolbook"/>
          <w:color w:val="000000"/>
        </w:rPr>
        <w:t xml:space="preserve"> </w:t>
      </w:r>
      <w:proofErr w:type="spellStart"/>
      <w:r>
        <w:rPr>
          <w:rFonts w:ascii="CenturySchoolbook" w:hAnsi="CenturySchoolbook" w:cs="CenturySchoolbook"/>
          <w:color w:val="000000"/>
        </w:rPr>
        <w:t>Segal</w:t>
      </w:r>
      <w:proofErr w:type="spellEnd"/>
      <w:r>
        <w:rPr>
          <w:rFonts w:ascii="CenturySchoolbook" w:hAnsi="CenturySchoolbook" w:cs="CenturySchoolbook"/>
          <w:color w:val="000000"/>
        </w:rPr>
        <w:t xml:space="preserve"> (</w:t>
      </w:r>
      <w:r>
        <w:rPr>
          <w:rFonts w:ascii="CenturySchoolbook" w:hAnsi="CenturySchoolbook" w:cs="CenturySchoolbook"/>
          <w:color w:val="0000FF"/>
        </w:rPr>
        <w:t>1974</w:t>
      </w:r>
      <w:r>
        <w:rPr>
          <w:rFonts w:ascii="CenturySchoolbook" w:hAnsi="CenturySchoolbook" w:cs="CenturySchoolbook"/>
          <w:color w:val="000000"/>
        </w:rPr>
        <w:t>). Il est aujourd’hui un des procédés les plus utilisés pour l’étude des</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proofErr w:type="gramStart"/>
      <w:r>
        <w:rPr>
          <w:rFonts w:ascii="CenturySchoolbook" w:hAnsi="CenturySchoolbook" w:cs="CenturySchoolbook"/>
          <w:color w:val="000000"/>
        </w:rPr>
        <w:t>matériaux</w:t>
      </w:r>
      <w:proofErr w:type="gramEnd"/>
      <w:r>
        <w:rPr>
          <w:rFonts w:ascii="CenturySchoolbook" w:hAnsi="CenturySchoolbook" w:cs="CenturySchoolbook"/>
          <w:color w:val="000000"/>
        </w:rPr>
        <w:t xml:space="preserve"> à grains ultrafins.</w:t>
      </w:r>
    </w:p>
    <w:p w:rsidR="00F712FF" w:rsidRDefault="00F712FF" w:rsidP="00F712FF">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Un échantillon, à section carrée ou circulaire, est inséré dans un canal coudé (figure</w:t>
      </w:r>
    </w:p>
    <w:p w:rsidR="00F712FF" w:rsidRDefault="00F712FF" w:rsidP="003D4EC8">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 xml:space="preserve">1.1). Généralement, les sections rectangulaires ont une dimension de 10 </w:t>
      </w:r>
      <w:r w:rsidR="003D4EC8">
        <w:rPr>
          <w:rFonts w:ascii="SymbolMT" w:eastAsia="SymbolMT" w:hAnsi="CenturySchoolbook-Bold" w:cs="SymbolMT" w:hint="eastAsia"/>
          <w:color w:val="000000"/>
        </w:rPr>
        <w:t>*</w:t>
      </w:r>
      <w:r>
        <w:rPr>
          <w:rFonts w:ascii="CenturySchoolbook" w:hAnsi="CenturySchoolbook" w:cs="CenturySchoolbook"/>
          <w:color w:val="000000"/>
        </w:rPr>
        <w:t>10mm ou</w:t>
      </w:r>
    </w:p>
    <w:p w:rsidR="00F712FF" w:rsidRDefault="00F712FF" w:rsidP="003D4EC8">
      <w:pPr>
        <w:autoSpaceDE w:val="0"/>
        <w:autoSpaceDN w:val="0"/>
        <w:adjustRightInd w:val="0"/>
        <w:spacing w:after="0" w:line="240" w:lineRule="auto"/>
        <w:rPr>
          <w:rFonts w:ascii="CenturySchoolbook" w:hAnsi="CenturySchoolbook" w:cs="CenturySchoolbook"/>
          <w:color w:val="000000"/>
        </w:rPr>
      </w:pPr>
      <w:r>
        <w:rPr>
          <w:rFonts w:ascii="CenturySchoolbook" w:hAnsi="CenturySchoolbook" w:cs="CenturySchoolbook"/>
          <w:color w:val="000000"/>
        </w:rPr>
        <w:t xml:space="preserve">20 </w:t>
      </w:r>
      <w:r w:rsidR="003D4EC8">
        <w:rPr>
          <w:rFonts w:ascii="SymbolMT" w:eastAsia="SymbolMT" w:hAnsi="CenturySchoolbook-Bold" w:cs="SymbolMT" w:hint="eastAsia"/>
          <w:color w:val="000000"/>
        </w:rPr>
        <w:t>*</w:t>
      </w:r>
      <w:r>
        <w:rPr>
          <w:rFonts w:ascii="SymbolMT" w:eastAsia="SymbolMT" w:hAnsi="CenturySchoolbook-Bold" w:cs="SymbolMT"/>
          <w:color w:val="000000"/>
        </w:rPr>
        <w:t xml:space="preserve"> </w:t>
      </w:r>
      <w:r>
        <w:rPr>
          <w:rFonts w:ascii="CenturySchoolbook" w:hAnsi="CenturySchoolbook" w:cs="CenturySchoolbook"/>
          <w:color w:val="000000"/>
        </w:rPr>
        <w:t xml:space="preserve">20mm. La déformation équivalente, au sens de </w:t>
      </w:r>
      <w:r w:rsidR="003D4EC8">
        <w:rPr>
          <w:rFonts w:ascii="CenturySchoolbook" w:hAnsi="CenturySchoolbook" w:cs="CenturySchoolbook"/>
          <w:color w:val="000000"/>
        </w:rPr>
        <w:t>Von</w:t>
      </w:r>
      <w:r>
        <w:rPr>
          <w:rFonts w:ascii="CenturySchoolbook" w:hAnsi="CenturySchoolbook" w:cs="CenturySchoolbook"/>
          <w:color w:val="000000"/>
        </w:rPr>
        <w:t xml:space="preserve"> Mises, appliquée à l’</w:t>
      </w:r>
      <w:r w:rsidR="003D4EC8">
        <w:rPr>
          <w:rFonts w:ascii="CenturySchoolbook" w:hAnsi="CenturySchoolbook" w:cs="CenturySchoolbook"/>
          <w:color w:val="000000"/>
        </w:rPr>
        <w:t xml:space="preserve">échantillon </w:t>
      </w:r>
      <w:r>
        <w:rPr>
          <w:rFonts w:ascii="CenturySchoolbook" w:hAnsi="CenturySchoolbook" w:cs="CenturySchoolbook"/>
          <w:color w:val="000000"/>
        </w:rPr>
        <w:t>dépend principalement de l’angle formé par les deux can</w:t>
      </w:r>
      <w:r w:rsidR="003D4EC8">
        <w:rPr>
          <w:rFonts w:ascii="CenturySchoolbook" w:hAnsi="CenturySchoolbook" w:cs="CenturySchoolbook"/>
          <w:color w:val="000000"/>
        </w:rPr>
        <w:t xml:space="preserve">aux et peut être définie par la </w:t>
      </w:r>
      <w:r>
        <w:rPr>
          <w:rFonts w:ascii="CenturySchoolbook" w:hAnsi="CenturySchoolbook" w:cs="CenturySchoolbook"/>
          <w:color w:val="000000"/>
        </w:rPr>
        <w:t xml:space="preserve">formule développée par </w:t>
      </w:r>
      <w:proofErr w:type="spellStart"/>
      <w:r>
        <w:rPr>
          <w:rFonts w:ascii="CenturySchoolbook" w:hAnsi="CenturySchoolbook" w:cs="CenturySchoolbook"/>
          <w:color w:val="000000"/>
        </w:rPr>
        <w:t>Iwahashi</w:t>
      </w:r>
      <w:proofErr w:type="spellEnd"/>
      <w:r>
        <w:rPr>
          <w:rFonts w:ascii="CenturySchoolbook" w:hAnsi="CenturySchoolbook" w:cs="CenturySchoolbook"/>
          <w:color w:val="000000"/>
        </w:rPr>
        <w:t xml:space="preserve"> </w:t>
      </w:r>
      <w:r>
        <w:rPr>
          <w:rFonts w:ascii="CenturySchoolbook-Italic" w:hAnsi="CenturySchoolbook-Italic" w:cs="CenturySchoolbook-Italic"/>
          <w:i/>
          <w:iCs/>
          <w:color w:val="000000"/>
        </w:rPr>
        <w:t xml:space="preserve">et al. </w:t>
      </w:r>
      <w:r>
        <w:rPr>
          <w:rFonts w:ascii="CenturySchoolbook" w:hAnsi="CenturySchoolbook" w:cs="CenturySchoolbook"/>
          <w:color w:val="000000"/>
        </w:rPr>
        <w:t>(</w:t>
      </w:r>
      <w:r>
        <w:rPr>
          <w:rFonts w:ascii="CenturySchoolbook" w:hAnsi="CenturySchoolbook" w:cs="CenturySchoolbook"/>
          <w:color w:val="0000FF"/>
        </w:rPr>
        <w:t>1996</w:t>
      </w:r>
      <w:r>
        <w:rPr>
          <w:rFonts w:ascii="CenturySchoolbook" w:hAnsi="CenturySchoolbook" w:cs="CenturySchoolbook"/>
          <w:color w:val="000000"/>
        </w:rPr>
        <w:t>) :</w:t>
      </w:r>
    </w:p>
    <w:p w:rsidR="003D4EC8" w:rsidRDefault="003D4EC8" w:rsidP="003D4EC8">
      <w:pPr>
        <w:autoSpaceDE w:val="0"/>
        <w:autoSpaceDN w:val="0"/>
        <w:adjustRightInd w:val="0"/>
        <w:spacing w:after="0" w:line="240" w:lineRule="auto"/>
        <w:rPr>
          <w:rFonts w:ascii="CenturySchoolbook" w:hAnsi="CenturySchoolbook" w:cs="CenturySchoolbook"/>
          <w:color w:val="000000"/>
        </w:rPr>
      </w:pPr>
    </w:p>
    <w:p w:rsidR="003D4EC8" w:rsidRDefault="003D4EC8" w:rsidP="003D4EC8">
      <w:pPr>
        <w:autoSpaceDE w:val="0"/>
        <w:autoSpaceDN w:val="0"/>
        <w:adjustRightInd w:val="0"/>
        <w:spacing w:after="0" w:line="240" w:lineRule="auto"/>
        <w:jc w:val="center"/>
        <w:rPr>
          <w:rFonts w:ascii="CenturySchoolbook" w:hAnsi="CenturySchoolbook" w:cs="CenturySchoolbook"/>
          <w:color w:val="000000"/>
        </w:rPr>
      </w:pPr>
      <w:r w:rsidRPr="003D4EC8">
        <w:rPr>
          <w:rFonts w:ascii="CenturySchoolbook" w:hAnsi="CenturySchoolbook" w:cs="CenturySchoolbook"/>
          <w:noProof/>
          <w:color w:val="000000"/>
          <w:lang w:eastAsia="fr-FR"/>
        </w:rPr>
        <w:drawing>
          <wp:inline distT="0" distB="0" distL="0" distR="0">
            <wp:extent cx="4505325" cy="63817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05325" cy="638175"/>
                    </a:xfrm>
                    <a:prstGeom prst="rect">
                      <a:avLst/>
                    </a:prstGeom>
                    <a:noFill/>
                    <a:ln>
                      <a:noFill/>
                    </a:ln>
                  </pic:spPr>
                </pic:pic>
              </a:graphicData>
            </a:graphic>
          </wp:inline>
        </w:drawing>
      </w:r>
    </w:p>
    <w:p w:rsidR="003D4EC8" w:rsidRDefault="003D4EC8" w:rsidP="00552E7A">
      <w:pPr>
        <w:autoSpaceDE w:val="0"/>
        <w:autoSpaceDN w:val="0"/>
        <w:adjustRightInd w:val="0"/>
        <w:spacing w:after="0" w:line="240" w:lineRule="auto"/>
        <w:rPr>
          <w:rFonts w:ascii="CenturySchoolbook" w:hAnsi="CenturySchoolbook" w:cs="CenturySchoolbook"/>
          <w:lang w:eastAsia="fr-FR"/>
        </w:rPr>
      </w:pPr>
      <w:proofErr w:type="gramStart"/>
      <w:r>
        <w:rPr>
          <w:rFonts w:ascii="CenturySchoolbook" w:hAnsi="CenturySchoolbook" w:cs="CenturySchoolbook"/>
          <w:lang w:eastAsia="fr-FR"/>
        </w:rPr>
        <w:t>où</w:t>
      </w:r>
      <w:proofErr w:type="gramEnd"/>
      <w:r>
        <w:rPr>
          <w:rFonts w:ascii="CenturySchoolbook" w:hAnsi="CenturySchoolbook" w:cs="CenturySchoolbook"/>
          <w:lang w:eastAsia="fr-FR"/>
        </w:rPr>
        <w:t xml:space="preserve"> </w:t>
      </w:r>
      <w:r>
        <w:rPr>
          <w:rFonts w:ascii="CenturySchoolbook-Italic" w:hAnsi="CenturySchoolbook-Italic" w:cs="CenturySchoolbook-Italic"/>
          <w:i/>
          <w:iCs/>
          <w:sz w:val="18"/>
          <w:szCs w:val="18"/>
          <w:lang w:eastAsia="fr-FR"/>
        </w:rPr>
        <w:t xml:space="preserve">N </w:t>
      </w:r>
      <w:r>
        <w:rPr>
          <w:rFonts w:ascii="CenturySchoolbook" w:hAnsi="CenturySchoolbook" w:cs="CenturySchoolbook"/>
          <w:lang w:eastAsia="fr-FR"/>
        </w:rPr>
        <w:t>est le nombre de passe,</w:t>
      </w:r>
      <m:oMath>
        <m:r>
          <w:rPr>
            <w:rFonts w:ascii="Cambria Math" w:eastAsia="SymbolMT" w:hAnsi="Cambria Math" w:cs="SymbolMT"/>
            <w:sz w:val="23"/>
            <w:szCs w:val="23"/>
            <w:lang w:eastAsia="fr-FR"/>
          </w:rPr>
          <m:t>∅</m:t>
        </m:r>
      </m:oMath>
      <w:r>
        <w:rPr>
          <w:rFonts w:ascii="SymbolMT" w:eastAsia="SymbolMT" w:hAnsi="CenturySchoolbook" w:cs="SymbolMT"/>
          <w:sz w:val="23"/>
          <w:szCs w:val="23"/>
          <w:lang w:eastAsia="fr-FR"/>
        </w:rPr>
        <w:t xml:space="preserve"> </w:t>
      </w:r>
      <w:r>
        <w:rPr>
          <w:rFonts w:ascii="CenturySchoolbook" w:hAnsi="CenturySchoolbook" w:cs="CenturySchoolbook"/>
          <w:lang w:eastAsia="fr-FR"/>
        </w:rPr>
        <w:t xml:space="preserve">est l’angle du coude et </w:t>
      </w:r>
      <m:oMath>
        <m:r>
          <w:rPr>
            <w:rFonts w:ascii="Cambria Math" w:eastAsia="SymbolMT" w:hAnsi="Cambria Math" w:cs="SymbolMT"/>
            <w:sz w:val="25"/>
            <w:szCs w:val="25"/>
            <w:lang w:eastAsia="fr-FR"/>
          </w:rPr>
          <m:t>ψ</m:t>
        </m:r>
      </m:oMath>
      <w:r>
        <w:rPr>
          <w:rFonts w:ascii="SymbolMT" w:eastAsia="SymbolMT" w:hAnsi="CenturySchoolbook" w:cs="SymbolMT"/>
          <w:sz w:val="25"/>
          <w:szCs w:val="25"/>
          <w:lang w:eastAsia="fr-FR"/>
        </w:rPr>
        <w:t xml:space="preserve"> </w:t>
      </w:r>
      <w:r>
        <w:rPr>
          <w:rFonts w:ascii="CenturySchoolbook" w:hAnsi="CenturySchoolbook" w:cs="CenturySchoolbook"/>
          <w:lang w:eastAsia="fr-FR"/>
        </w:rPr>
        <w:t>l’angle extérieur. Usuellement,</w:t>
      </w:r>
    </w:p>
    <w:p w:rsidR="003D4EC8" w:rsidRDefault="00552E7A" w:rsidP="00552E7A">
      <w:pPr>
        <w:autoSpaceDE w:val="0"/>
        <w:autoSpaceDN w:val="0"/>
        <w:adjustRightInd w:val="0"/>
        <w:spacing w:after="0" w:line="240" w:lineRule="auto"/>
        <w:rPr>
          <w:rFonts w:ascii="SymbolMT" w:eastAsia="SymbolMT" w:hAnsi="CenturySchoolbook" w:cs="SymbolMT"/>
          <w:sz w:val="24"/>
          <w:szCs w:val="24"/>
          <w:lang w:eastAsia="fr-FR"/>
        </w:rPr>
      </w:pPr>
      <m:oMath>
        <m:r>
          <w:rPr>
            <w:rFonts w:ascii="Cambria Math" w:eastAsia="SymbolMT" w:hAnsi="Cambria Math" w:cs="SymbolMT"/>
            <w:sz w:val="23"/>
            <w:szCs w:val="23"/>
            <w:lang w:eastAsia="fr-FR"/>
          </w:rPr>
          <m:t>∅</m:t>
        </m:r>
      </m:oMath>
      <w:r w:rsidR="003D4EC8">
        <w:rPr>
          <w:rFonts w:ascii="SymbolMT" w:eastAsia="SymbolMT" w:hAnsi="CenturySchoolbook" w:cs="SymbolMT"/>
          <w:sz w:val="23"/>
          <w:szCs w:val="23"/>
          <w:lang w:eastAsia="fr-FR"/>
        </w:rPr>
        <w:t xml:space="preserve"> </w:t>
      </w:r>
      <w:proofErr w:type="gramStart"/>
      <w:r w:rsidR="003D4EC8">
        <w:rPr>
          <w:rFonts w:ascii="CenturySchoolbook" w:hAnsi="CenturySchoolbook" w:cs="CenturySchoolbook"/>
          <w:lang w:eastAsia="fr-FR"/>
        </w:rPr>
        <w:t>est</w:t>
      </w:r>
      <w:proofErr w:type="gramEnd"/>
      <w:r w:rsidR="003D4EC8">
        <w:rPr>
          <w:rFonts w:ascii="CenturySchoolbook" w:hAnsi="CenturySchoolbook" w:cs="CenturySchoolbook"/>
          <w:lang w:eastAsia="fr-FR"/>
        </w:rPr>
        <w:t xml:space="preserve"> égal à 90° pour obtenir une déformation importante. On obtient </w:t>
      </w:r>
      <w:proofErr w:type="gramStart"/>
      <w:r w:rsidR="003D4EC8">
        <w:rPr>
          <w:rFonts w:ascii="CenturySchoolbook" w:hAnsi="CenturySchoolbook" w:cs="CenturySchoolbook"/>
          <w:lang w:eastAsia="fr-FR"/>
        </w:rPr>
        <w:t xml:space="preserve">donc </w:t>
      </w:r>
      <w:r>
        <w:rPr>
          <w:rFonts w:ascii="CenturySchoolbook" w:hAnsi="CenturySchoolbook" w:cs="CenturySchoolbook"/>
          <w:lang w:eastAsia="fr-FR"/>
        </w:rPr>
        <w:t xml:space="preserve"> </w:t>
      </w:r>
      <w:proofErr w:type="gramEnd"/>
      <m:oMath>
        <m:sSub>
          <m:sSubPr>
            <m:ctrlPr>
              <w:rPr>
                <w:rFonts w:ascii="Cambria Math" w:hAnsi="Cambria Math" w:cs="CenturySchoolbook"/>
                <w:i/>
                <w:lang w:eastAsia="fr-FR"/>
              </w:rPr>
            </m:ctrlPr>
          </m:sSubPr>
          <m:e>
            <m:r>
              <w:rPr>
                <w:rFonts w:ascii="Cambria Math" w:hAnsi="Cambria Math" w:cs="CenturySchoolbook"/>
                <w:lang w:eastAsia="fr-FR"/>
              </w:rPr>
              <m:t>ϵ</m:t>
            </m:r>
          </m:e>
          <m:sub>
            <m:r>
              <w:rPr>
                <w:rFonts w:ascii="Cambria Math" w:hAnsi="Cambria Math" w:cs="CenturySchoolbook"/>
                <w:lang w:eastAsia="fr-FR"/>
              </w:rPr>
              <m:t>eq</m:t>
            </m:r>
          </m:sub>
        </m:sSub>
      </m:oMath>
      <w:r>
        <w:rPr>
          <w:rFonts w:ascii="CenturySchoolbook" w:hAnsi="CenturySchoolbook" w:cs="CenturySchoolbook"/>
          <w:lang w:eastAsia="fr-FR"/>
        </w:rPr>
        <w:t>=</w:t>
      </w:r>
      <w:r w:rsidR="003D4EC8">
        <w:rPr>
          <w:rFonts w:ascii="CenturySchoolbook" w:hAnsi="CenturySchoolbook" w:cs="CenturySchoolbook"/>
          <w:sz w:val="24"/>
          <w:szCs w:val="24"/>
          <w:lang w:eastAsia="fr-FR"/>
        </w:rPr>
        <w:t xml:space="preserve">1.15 </w:t>
      </w:r>
    </w:p>
    <w:p w:rsidR="003D4EC8" w:rsidRDefault="003D4EC8" w:rsidP="00552E7A">
      <w:pPr>
        <w:rPr>
          <w:rFonts w:ascii="CenturySchoolbook" w:hAnsi="CenturySchoolbook" w:cs="CenturySchoolbook"/>
          <w:lang w:eastAsia="fr-FR"/>
        </w:rPr>
      </w:pPr>
      <w:r>
        <w:rPr>
          <w:rFonts w:ascii="CenturySchoolbook" w:hAnsi="CenturySchoolbook" w:cs="CenturySchoolbook"/>
          <w:lang w:eastAsia="fr-FR"/>
        </w:rPr>
        <w:t xml:space="preserve">pour </w:t>
      </w:r>
      <m:oMath>
        <m:r>
          <w:rPr>
            <w:rFonts w:ascii="Cambria Math" w:eastAsia="SymbolMT" w:hAnsi="Cambria Math" w:cs="SymbolMT"/>
            <w:sz w:val="23"/>
            <w:szCs w:val="23"/>
            <w:lang w:eastAsia="fr-FR"/>
          </w:rPr>
          <m:t>∅=</m:t>
        </m:r>
      </m:oMath>
      <w:r>
        <w:rPr>
          <w:rFonts w:ascii="SymbolMT" w:eastAsia="SymbolMT" w:hAnsi="CenturySchoolbook" w:cs="SymbolMT"/>
          <w:lang w:eastAsia="fr-FR"/>
        </w:rPr>
        <w:t xml:space="preserve"> </w:t>
      </w:r>
      <w:r>
        <w:rPr>
          <w:rFonts w:ascii="CenturySchoolbook" w:hAnsi="CenturySchoolbook" w:cs="CenturySchoolbook"/>
          <w:lang w:eastAsia="fr-FR"/>
        </w:rPr>
        <w:t>90</w:t>
      </w:r>
      <w:r w:rsidR="00552E7A">
        <w:rPr>
          <w:rFonts w:ascii="SymbolMT" w:eastAsia="SymbolMT" w:hAnsi="CenturySchoolbook" w:cs="SymbolMT" w:hint="eastAsia"/>
          <w:lang w:eastAsia="fr-FR"/>
        </w:rPr>
        <w:t>°</w:t>
      </w:r>
      <w:r>
        <w:rPr>
          <w:rFonts w:ascii="CenturySchoolbook" w:hAnsi="CenturySchoolbook" w:cs="CenturySchoolbook"/>
          <w:lang w:eastAsia="fr-FR"/>
        </w:rPr>
        <w:t xml:space="preserve">et </w:t>
      </w:r>
      <m:oMath>
        <m:r>
          <w:rPr>
            <w:rFonts w:ascii="Cambria Math" w:eastAsia="SymbolMT" w:hAnsi="Cambria Math" w:cs="SymbolMT"/>
            <w:sz w:val="25"/>
            <w:szCs w:val="25"/>
            <w:lang w:eastAsia="fr-FR"/>
          </w:rPr>
          <m:t>ψ=</m:t>
        </m:r>
      </m:oMath>
      <w:r>
        <w:rPr>
          <w:rFonts w:ascii="SymbolMT" w:eastAsia="SymbolMT" w:hAnsi="CenturySchoolbook" w:cs="SymbolMT"/>
          <w:lang w:eastAsia="fr-FR"/>
        </w:rPr>
        <w:t xml:space="preserve"> </w:t>
      </w:r>
      <w:r>
        <w:rPr>
          <w:rFonts w:ascii="CenturySchoolbook" w:hAnsi="CenturySchoolbook" w:cs="CenturySchoolbook"/>
          <w:lang w:eastAsia="fr-FR"/>
        </w:rPr>
        <w:t>0</w:t>
      </w:r>
      <w:proofErr w:type="gramStart"/>
      <w:r w:rsidR="00552E7A">
        <w:rPr>
          <w:rFonts w:ascii="SymbolMT" w:eastAsia="SymbolMT" w:hAnsi="CenturySchoolbook" w:cs="SymbolMT" w:hint="eastAsia"/>
          <w:lang w:eastAsia="fr-FR"/>
        </w:rPr>
        <w:t>°</w:t>
      </w:r>
      <w:r>
        <w:rPr>
          <w:rFonts w:ascii="SymbolMT" w:eastAsia="SymbolMT" w:hAnsi="CenturySchoolbook" w:cs="SymbolMT"/>
          <w:lang w:eastAsia="fr-FR"/>
        </w:rPr>
        <w:t xml:space="preserve"> </w:t>
      </w:r>
      <w:r>
        <w:rPr>
          <w:rFonts w:ascii="CenturySchoolbook" w:hAnsi="CenturySchoolbook" w:cs="CenturySchoolbook"/>
          <w:lang w:eastAsia="fr-FR"/>
        </w:rPr>
        <w:t>.</w:t>
      </w:r>
      <w:proofErr w:type="gramEnd"/>
    </w:p>
    <w:p w:rsidR="00552E7A" w:rsidRDefault="00552E7A" w:rsidP="00552E7A">
      <w:pPr>
        <w:jc w:val="center"/>
        <w:rPr>
          <w:rFonts w:ascii="CenturySchoolbook" w:hAnsi="CenturySchoolbook" w:cs="CenturySchoolbook"/>
        </w:rPr>
      </w:pPr>
      <w:r w:rsidRPr="00552E7A">
        <w:rPr>
          <w:rFonts w:ascii="CenturySchoolbook" w:hAnsi="CenturySchoolbook" w:cs="CenturySchoolbook"/>
          <w:noProof/>
          <w:lang w:eastAsia="fr-FR"/>
        </w:rPr>
        <w:lastRenderedPageBreak/>
        <w:drawing>
          <wp:inline distT="0" distB="0" distL="0" distR="0">
            <wp:extent cx="1819275" cy="2057400"/>
            <wp:effectExtent l="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9275" cy="2057400"/>
                    </a:xfrm>
                    <a:prstGeom prst="rect">
                      <a:avLst/>
                    </a:prstGeom>
                    <a:noFill/>
                    <a:ln>
                      <a:noFill/>
                    </a:ln>
                  </pic:spPr>
                </pic:pic>
              </a:graphicData>
            </a:graphic>
          </wp:inline>
        </w:drawing>
      </w:r>
    </w:p>
    <w:p w:rsidR="00552E7A" w:rsidRDefault="00552E7A" w:rsidP="00552E7A">
      <w:pPr>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 – Principe d’ECAE (</w:t>
      </w:r>
      <w:proofErr w:type="spellStart"/>
      <w:r>
        <w:rPr>
          <w:rFonts w:ascii="CenturySchoolbook" w:hAnsi="CenturySchoolbook" w:cs="CenturySchoolbook"/>
          <w:color w:val="0000FF"/>
          <w:lang w:eastAsia="fr-FR"/>
        </w:rPr>
        <w:t>Valiev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2006</w:t>
      </w:r>
      <w:r>
        <w:rPr>
          <w:rFonts w:ascii="CenturySchoolbook" w:hAnsi="CenturySchoolbook" w:cs="CenturySchoolbook"/>
          <w:color w:val="000000"/>
          <w:lang w:eastAsia="fr-FR"/>
        </w:rPr>
        <w:t>).</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L’échantillon en sortie de canal possède la même géométrie qu’avant déformation, sauf une déformation de l’extrémité si une contre pression n’est pas appliquée pour l’aplatir. Ce processus peut donc être répété pour atteindre des déformations très importantes et ainsi obtenir une taille de grains très fine. Après chaque passe, l'échantillon peut être tourné dans différentes directions et ainsi modifier le chemin de déformation dans l’échantillon.</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Idéalement, la déformation est localisée dans un plan de cisaillement simple situé à l’intersection des deux canaux. Le frottement entre les matrices outils et l’échantillon doit être minimum pour conserver cet état de déformation « parfait ». Il est constaté expérimentalement que la déformation n’est pas totalement homogène et provoque donc une répartition de la taille de grains dans la section de l’échantillon. Pour éviter de trop grandes disparités, il est possible d’appliquer une contre pression pour confiner</w:t>
      </w:r>
    </w:p>
    <w:p w:rsidR="00552E7A" w:rsidRDefault="00552E7A" w:rsidP="00552E7A">
      <w:pPr>
        <w:autoSpaceDE w:val="0"/>
        <w:autoSpaceDN w:val="0"/>
        <w:adjustRightInd w:val="0"/>
        <w:spacing w:after="0" w:line="240" w:lineRule="auto"/>
        <w:rPr>
          <w:rFonts w:ascii="CenturySchoolbook" w:hAnsi="CenturySchoolbook" w:cs="CenturySchoolbook"/>
          <w:color w:val="0000FF"/>
          <w:lang w:eastAsia="fr-FR"/>
        </w:rPr>
      </w:pPr>
      <w:r>
        <w:rPr>
          <w:rFonts w:ascii="CenturySchoolbook" w:hAnsi="CenturySchoolbook" w:cs="CenturySchoolbook"/>
          <w:color w:val="000000"/>
          <w:lang w:eastAsia="fr-FR"/>
        </w:rPr>
        <w:t>l’échantillon de manière plus importante (</w:t>
      </w:r>
      <w:r>
        <w:rPr>
          <w:rFonts w:ascii="CenturySchoolbook" w:hAnsi="CenturySchoolbook" w:cs="CenturySchoolbook"/>
          <w:color w:val="0000FF"/>
          <w:lang w:eastAsia="fr-FR"/>
        </w:rPr>
        <w:t xml:space="preserve">McKenzie &amp; </w:t>
      </w:r>
      <w:proofErr w:type="spellStart"/>
      <w:r>
        <w:rPr>
          <w:rFonts w:ascii="CenturySchoolbook" w:hAnsi="CenturySchoolbook" w:cs="CenturySchoolbook"/>
          <w:color w:val="0000FF"/>
          <w:lang w:eastAsia="fr-FR"/>
        </w:rPr>
        <w:t>Lapovok</w:t>
      </w:r>
      <w:proofErr w:type="spellEnd"/>
      <w:r>
        <w:rPr>
          <w:rFonts w:ascii="CenturySchoolbook" w:hAnsi="CenturySchoolbook" w:cs="CenturySchoolbook"/>
          <w:color w:val="0000FF"/>
          <w:lang w:eastAsia="fr-FR"/>
        </w:rPr>
        <w:t xml:space="preserve">, 2010 - McKenzie </w:t>
      </w:r>
      <w:r>
        <w:rPr>
          <w:rFonts w:ascii="CenturySchoolbook-Italic" w:hAnsi="CenturySchoolbook-Italic" w:cs="CenturySchoolbook-Italic"/>
          <w:i/>
          <w:iCs/>
          <w:color w:val="0000FF"/>
          <w:lang w:eastAsia="fr-FR"/>
        </w:rPr>
        <w:t>et al</w:t>
      </w:r>
      <w:proofErr w:type="gramStart"/>
      <w:r>
        <w:rPr>
          <w:rFonts w:ascii="CenturySchoolbook-Italic" w:hAnsi="CenturySchoolbook-Italic" w:cs="CenturySchoolbook-Italic"/>
          <w:i/>
          <w:iCs/>
          <w:color w:val="0000FF"/>
          <w:lang w:eastAsia="fr-FR"/>
        </w:rPr>
        <w:t>.</w:t>
      </w:r>
      <w:r>
        <w:rPr>
          <w:rFonts w:ascii="CenturySchoolbook" w:hAnsi="CenturySchoolbook" w:cs="CenturySchoolbook"/>
          <w:color w:val="0000FF"/>
          <w:lang w:eastAsia="fr-FR"/>
        </w:rPr>
        <w:t>,</w:t>
      </w:r>
      <w:proofErr w:type="gramEnd"/>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t xml:space="preserve">2007 - </w:t>
      </w:r>
      <w:proofErr w:type="spellStart"/>
      <w:r>
        <w:rPr>
          <w:rFonts w:ascii="CenturySchoolbook" w:hAnsi="CenturySchoolbook" w:cs="CenturySchoolbook"/>
          <w:color w:val="0000FF"/>
          <w:lang w:eastAsia="fr-FR"/>
        </w:rPr>
        <w:t>Djavanroodi</w:t>
      </w:r>
      <w:proofErr w:type="spellEnd"/>
      <w:r>
        <w:rPr>
          <w:rFonts w:ascii="CenturySchoolbook" w:hAnsi="CenturySchoolbook" w:cs="CenturySchoolbook"/>
          <w:color w:val="0000FF"/>
          <w:lang w:eastAsia="fr-FR"/>
        </w:rPr>
        <w:t xml:space="preserve"> &amp; </w:t>
      </w:r>
      <w:proofErr w:type="spellStart"/>
      <w:r>
        <w:rPr>
          <w:rFonts w:ascii="CenturySchoolbook" w:hAnsi="CenturySchoolbook" w:cs="CenturySchoolbook"/>
          <w:color w:val="0000FF"/>
          <w:lang w:eastAsia="fr-FR"/>
        </w:rPr>
        <w:t>Ebrahimi</w:t>
      </w:r>
      <w:proofErr w:type="spellEnd"/>
      <w:r>
        <w:rPr>
          <w:rFonts w:ascii="CenturySchoolbook" w:hAnsi="CenturySchoolbook" w:cs="CenturySchoolbook"/>
          <w:color w:val="0000FF"/>
          <w:lang w:eastAsia="fr-FR"/>
        </w:rPr>
        <w:t>, 2010</w:t>
      </w:r>
      <w:r>
        <w:rPr>
          <w:rFonts w:ascii="CenturySchoolbook" w:hAnsi="CenturySchoolbook" w:cs="CenturySchoolbook"/>
          <w:color w:val="000000"/>
          <w:lang w:eastAsia="fr-FR"/>
        </w:rPr>
        <w:t>). L’angle extérieur entre les deux canaux joue aussi un rôle important dans l’application du cisaillement. Quand l'angle extérieur est petit, et en l'absence d’une contre pression, cette zone n'est pas parfaitement remplie. En revanche, lorsqu’une BP importante est appliquée, une zone morte se développe. Selon l’équation 1.1, la déformation diminue en fonction de cet angle.</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Ce procédé peut être réalisé à différentes températures pour favoriser la déformation d’échantillons plus dur (exemple : le titane). La vitesse d’extrusion n’influence que très</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peu la taille de grains obtenue (</w:t>
      </w:r>
      <w:proofErr w:type="spellStart"/>
      <w:r>
        <w:rPr>
          <w:rFonts w:ascii="CenturySchoolbook" w:hAnsi="CenturySchoolbook" w:cs="CenturySchoolbook"/>
          <w:color w:val="0000FF"/>
          <w:lang w:eastAsia="fr-FR"/>
        </w:rPr>
        <w:t>Berbon</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1999</w:t>
      </w:r>
      <w:r>
        <w:rPr>
          <w:rFonts w:ascii="CenturySchoolbook" w:hAnsi="CenturySchoolbook" w:cs="CenturySchoolbook"/>
          <w:color w:val="000000"/>
          <w:lang w:eastAsia="fr-FR"/>
        </w:rPr>
        <w:t>).</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Le principal inconvénient de ce procédé est qu’il n’est pas continu. En effet, pour accroitre la déformation, il faut réaliser plusieurs passes. Visant à remédier à cet inconvénient, de nombreuses variantes ont été développées, comme présenté sur la figure 1.2. Le procédé ECAP-</w:t>
      </w:r>
      <w:proofErr w:type="spellStart"/>
      <w:r>
        <w:rPr>
          <w:rFonts w:ascii="CenturySchoolbook" w:hAnsi="CenturySchoolbook" w:cs="CenturySchoolbook"/>
          <w:color w:val="000000"/>
          <w:lang w:eastAsia="fr-FR"/>
        </w:rPr>
        <w:t>Conform</w:t>
      </w:r>
      <w:proofErr w:type="spellEnd"/>
      <w:r>
        <w:rPr>
          <w:rFonts w:ascii="CenturySchoolbook" w:hAnsi="CenturySchoolbook" w:cs="CenturySchoolbook"/>
          <w:color w:val="000000"/>
          <w:lang w:eastAsia="fr-FR"/>
        </w:rPr>
        <w:t xml:space="preserve"> est prometteur puisqu’il permet d’affiner des produits longs et est donc adapté à l’industrie.</w:t>
      </w:r>
    </w:p>
    <w:p w:rsidR="00552E7A" w:rsidRDefault="00552E7A" w:rsidP="00552E7A">
      <w:pPr>
        <w:autoSpaceDE w:val="0"/>
        <w:autoSpaceDN w:val="0"/>
        <w:adjustRightInd w:val="0"/>
        <w:spacing w:after="0" w:line="240" w:lineRule="auto"/>
        <w:rPr>
          <w:rFonts w:ascii="CenturySchoolbook" w:hAnsi="CenturySchoolbook" w:cs="CenturySchoolbook"/>
          <w:color w:val="000000"/>
          <w:lang w:eastAsia="fr-FR"/>
        </w:rPr>
      </w:pPr>
    </w:p>
    <w:p w:rsidR="00552E7A" w:rsidRDefault="00EC4629" w:rsidP="00EC4629">
      <w:pPr>
        <w:autoSpaceDE w:val="0"/>
        <w:autoSpaceDN w:val="0"/>
        <w:adjustRightInd w:val="0"/>
        <w:spacing w:after="0" w:line="240" w:lineRule="auto"/>
        <w:jc w:val="center"/>
        <w:rPr>
          <w:rFonts w:ascii="CenturySchoolbook" w:hAnsi="CenturySchoolbook" w:cs="CenturySchoolbook"/>
          <w:color w:val="000000"/>
          <w:lang w:eastAsia="fr-FR"/>
        </w:rPr>
      </w:pPr>
      <w:r w:rsidRPr="00EC4629">
        <w:rPr>
          <w:rFonts w:ascii="CenturySchoolbook" w:hAnsi="CenturySchoolbook" w:cs="CenturySchoolbook"/>
          <w:noProof/>
          <w:color w:val="000000"/>
          <w:lang w:eastAsia="fr-FR"/>
        </w:rPr>
        <w:drawing>
          <wp:inline distT="0" distB="0" distL="0" distR="0">
            <wp:extent cx="3343275" cy="1543050"/>
            <wp:effectExtent l="0" t="0" r="952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43275" cy="1543050"/>
                    </a:xfrm>
                    <a:prstGeom prst="rect">
                      <a:avLst/>
                    </a:prstGeom>
                    <a:noFill/>
                    <a:ln>
                      <a:noFill/>
                    </a:ln>
                  </pic:spPr>
                </pic:pic>
              </a:graphicData>
            </a:graphic>
          </wp:inline>
        </w:drawing>
      </w:r>
    </w:p>
    <w:p w:rsidR="00EC4629" w:rsidRDefault="00EC4629" w:rsidP="00EC4629">
      <w:pPr>
        <w:autoSpaceDE w:val="0"/>
        <w:autoSpaceDN w:val="0"/>
        <w:adjustRightInd w:val="0"/>
        <w:spacing w:after="0" w:line="240" w:lineRule="auto"/>
        <w:jc w:val="center"/>
        <w:rPr>
          <w:rFonts w:ascii="CenturySchoolbook" w:hAnsi="CenturySchoolbook" w:cs="CenturySchoolbook"/>
          <w:color w:val="000000"/>
          <w:lang w:eastAsia="fr-FR"/>
        </w:rPr>
      </w:pPr>
    </w:p>
    <w:p w:rsidR="00EC4629" w:rsidRDefault="00EC4629" w:rsidP="00EC4629">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1.2 – Schéma du procédé a) ECAP Multi-</w:t>
      </w:r>
      <w:proofErr w:type="spellStart"/>
      <w:r>
        <w:rPr>
          <w:rFonts w:ascii="CenturySchoolbook" w:hAnsi="CenturySchoolbook" w:cs="CenturySchoolbook"/>
          <w:color w:val="000000"/>
          <w:lang w:eastAsia="fr-FR"/>
        </w:rPr>
        <w:t>pass</w:t>
      </w:r>
      <w:proofErr w:type="spellEnd"/>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FF"/>
          <w:lang w:eastAsia="fr-FR"/>
        </w:rPr>
        <w:t>Nakashima</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2000</w:t>
      </w:r>
      <w:r>
        <w:rPr>
          <w:rFonts w:ascii="CenturySchoolbook" w:hAnsi="CenturySchoolbook" w:cs="CenturySchoolbook"/>
          <w:color w:val="000000"/>
          <w:lang w:eastAsia="fr-FR"/>
        </w:rPr>
        <w:t xml:space="preserve">), b) </w:t>
      </w:r>
      <w:proofErr w:type="spellStart"/>
      <w:r>
        <w:rPr>
          <w:rFonts w:ascii="CenturySchoolbook" w:hAnsi="CenturySchoolbook" w:cs="CenturySchoolbook"/>
          <w:color w:val="000000"/>
          <w:lang w:eastAsia="fr-FR"/>
        </w:rPr>
        <w:t>ECAPConform</w:t>
      </w:r>
      <w:proofErr w:type="spellEnd"/>
    </w:p>
    <w:p w:rsidR="00EC4629" w:rsidRDefault="00EC4629" w:rsidP="00EC4629">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w:t>
      </w:r>
      <w:r>
        <w:rPr>
          <w:rFonts w:ascii="CenturySchoolbook" w:hAnsi="CenturySchoolbook" w:cs="CenturySchoolbook"/>
          <w:color w:val="0000FF"/>
          <w:lang w:eastAsia="fr-FR"/>
        </w:rPr>
        <w:t xml:space="preserve">Raab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2004</w:t>
      </w:r>
      <w:r>
        <w:rPr>
          <w:rFonts w:ascii="CenturySchoolbook" w:hAnsi="CenturySchoolbook" w:cs="CenturySchoolbook"/>
          <w:color w:val="000000"/>
          <w:lang w:eastAsia="fr-FR"/>
        </w:rPr>
        <w:t>).</w:t>
      </w:r>
    </w:p>
    <w:p w:rsidR="00EC4629" w:rsidRDefault="00EC4629" w:rsidP="00EC4629">
      <w:pPr>
        <w:autoSpaceDE w:val="0"/>
        <w:autoSpaceDN w:val="0"/>
        <w:adjustRightInd w:val="0"/>
        <w:spacing w:after="0" w:line="240" w:lineRule="auto"/>
        <w:jc w:val="center"/>
        <w:rPr>
          <w:rFonts w:ascii="CenturySchoolbook" w:hAnsi="CenturySchoolbook" w:cs="CenturySchoolbook"/>
          <w:color w:val="000000"/>
          <w:lang w:eastAsia="fr-FR"/>
        </w:rPr>
      </w:pPr>
    </w:p>
    <w:p w:rsidR="00EC4629" w:rsidRDefault="00EC4629" w:rsidP="00EC4629">
      <w:pPr>
        <w:autoSpaceDE w:val="0"/>
        <w:autoSpaceDN w:val="0"/>
        <w:adjustRightInd w:val="0"/>
        <w:spacing w:after="0" w:line="240" w:lineRule="auto"/>
        <w:jc w:val="center"/>
        <w:rPr>
          <w:rFonts w:ascii="CenturySchoolbook" w:hAnsi="CenturySchoolbook" w:cs="CenturySchoolbook"/>
          <w:color w:val="000000"/>
          <w:lang w:eastAsia="fr-FR"/>
        </w:rPr>
      </w:pPr>
    </w:p>
    <w:p w:rsidR="00EC4629" w:rsidRDefault="00EC4629" w:rsidP="00EC4629">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r>
        <w:rPr>
          <w:rFonts w:ascii="CenturySchoolbook-Bold" w:hAnsi="CenturySchoolbook-Bold" w:cs="CenturySchoolbook-Bold"/>
          <w:b/>
          <w:bCs/>
          <w:color w:val="000000"/>
          <w:sz w:val="28"/>
          <w:szCs w:val="28"/>
          <w:lang w:eastAsia="fr-FR"/>
        </w:rPr>
        <w:lastRenderedPageBreak/>
        <w:t>1.1.2 High Pressure Torsion</w:t>
      </w:r>
    </w:p>
    <w:p w:rsidR="00EC4629" w:rsidRDefault="00EC4629" w:rsidP="00EC4629">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Ce procédé consiste, comme ECAE, à déformer un échantillon par cisaillement sans changement de forme. Les premières études, réalisées par Bridgman (</w:t>
      </w:r>
      <w:r>
        <w:rPr>
          <w:rFonts w:ascii="CenturySchoolbook" w:hAnsi="CenturySchoolbook" w:cs="CenturySchoolbook"/>
          <w:color w:val="0000FF"/>
          <w:lang w:eastAsia="fr-FR"/>
        </w:rPr>
        <w:t>1943</w:t>
      </w:r>
      <w:r>
        <w:rPr>
          <w:rFonts w:ascii="CenturySchoolbook" w:hAnsi="CenturySchoolbook" w:cs="CenturySchoolbook"/>
          <w:color w:val="000000"/>
          <w:lang w:eastAsia="fr-FR"/>
        </w:rPr>
        <w:t>), avaient comme objectif l’étude de l’effet du cisaillement combiné à de hautes pressions.</w:t>
      </w:r>
    </w:p>
    <w:p w:rsidR="00EC4629" w:rsidRDefault="00EC4629" w:rsidP="00EC4629">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S’inspirant de ces travaux, un procédé d’</w:t>
      </w:r>
      <w:proofErr w:type="spellStart"/>
      <w:r>
        <w:rPr>
          <w:rFonts w:ascii="CenturySchoolbook" w:hAnsi="CenturySchoolbook" w:cs="CenturySchoolbook"/>
          <w:color w:val="000000"/>
          <w:lang w:eastAsia="fr-FR"/>
        </w:rPr>
        <w:t>hyperdéformation</w:t>
      </w:r>
      <w:proofErr w:type="spellEnd"/>
      <w:r>
        <w:rPr>
          <w:rFonts w:ascii="CenturySchoolbook" w:hAnsi="CenturySchoolbook" w:cs="CenturySchoolbook"/>
          <w:color w:val="000000"/>
          <w:lang w:eastAsia="fr-FR"/>
        </w:rPr>
        <w:t xml:space="preserve"> nommé High Pressure</w:t>
      </w:r>
    </w:p>
    <w:p w:rsidR="00EC4629" w:rsidRDefault="00EC4629" w:rsidP="00EC4629">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Torsion a été développée. De nombreuses études ont été réalisées par exemple par </w:t>
      </w:r>
      <w:proofErr w:type="spellStart"/>
      <w:r>
        <w:rPr>
          <w:rFonts w:ascii="CenturySchoolbook" w:hAnsi="CenturySchoolbook" w:cs="CenturySchoolbook"/>
          <w:color w:val="000000"/>
          <w:lang w:eastAsia="fr-FR"/>
        </w:rPr>
        <w:t>Zhorin</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1982</w:t>
      </w:r>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00"/>
          <w:lang w:eastAsia="fr-FR"/>
        </w:rPr>
        <w:t>Smirnova</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1986</w:t>
      </w:r>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00"/>
          <w:lang w:eastAsia="fr-FR"/>
        </w:rPr>
        <w:t>Valiev</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1988</w:t>
      </w:r>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00"/>
          <w:lang w:eastAsia="fr-FR"/>
        </w:rPr>
        <w:t>Zhilyaev</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2003 - 2008</w:t>
      </w:r>
      <w:r>
        <w:rPr>
          <w:rFonts w:ascii="CenturySchoolbook" w:hAnsi="CenturySchoolbook" w:cs="CenturySchoolbook"/>
          <w:color w:val="000000"/>
          <w:lang w:eastAsia="fr-FR"/>
        </w:rPr>
        <w:t xml:space="preserve">). Ce procédé consiste à placer un échantillon de forme circulaire entre deux matrices : une soumise à une charge et l’autre à une rotation (figure 1.3). Une force axiale permet de mettre l’échantillon sous une pression hydrostatique de l’ordre de plusieurs </w:t>
      </w:r>
      <w:proofErr w:type="spellStart"/>
      <w:r>
        <w:rPr>
          <w:rFonts w:ascii="CenturySchoolbook" w:hAnsi="CenturySchoolbook" w:cs="CenturySchoolbook"/>
          <w:color w:val="000000"/>
          <w:lang w:eastAsia="fr-FR"/>
        </w:rPr>
        <w:t>GPa</w:t>
      </w:r>
      <w:proofErr w:type="spellEnd"/>
      <w:r>
        <w:rPr>
          <w:rFonts w:ascii="CenturySchoolbook" w:hAnsi="CenturySchoolbook" w:cs="CenturySchoolbook"/>
          <w:color w:val="000000"/>
          <w:lang w:eastAsia="fr-FR"/>
        </w:rPr>
        <w:t xml:space="preserve">. Une </w:t>
      </w:r>
      <w:proofErr w:type="spellStart"/>
      <w:r>
        <w:rPr>
          <w:rFonts w:ascii="CenturySchoolbook" w:hAnsi="CenturySchoolbook" w:cs="CenturySchoolbook"/>
          <w:color w:val="000000"/>
          <w:lang w:eastAsia="fr-FR"/>
        </w:rPr>
        <w:t>nrotation</w:t>
      </w:r>
      <w:proofErr w:type="spellEnd"/>
      <w:r>
        <w:rPr>
          <w:rFonts w:ascii="CenturySchoolbook" w:hAnsi="CenturySchoolbook" w:cs="CenturySchoolbook"/>
          <w:color w:val="000000"/>
          <w:lang w:eastAsia="fr-FR"/>
        </w:rPr>
        <w:t xml:space="preserve"> de la matrice mobile permet de cisailler l’échantillon et ainsi d’affiner sa microstructure. Ce cisaillement est possible grâce au frottement entre les matrices et l’échantillon.</w:t>
      </w:r>
    </w:p>
    <w:p w:rsidR="00EC4629" w:rsidRDefault="00EC4629" w:rsidP="00EC4629">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Contrairement à ECAE, HPT est un procédé continu. La déformation équivalente au sens de </w:t>
      </w:r>
      <w:proofErr w:type="spellStart"/>
      <w:r>
        <w:rPr>
          <w:rFonts w:ascii="CenturySchoolbook" w:hAnsi="CenturySchoolbook" w:cs="CenturySchoolbook"/>
          <w:lang w:eastAsia="fr-FR"/>
        </w:rPr>
        <w:t>von</w:t>
      </w:r>
      <w:proofErr w:type="spellEnd"/>
      <w:r>
        <w:rPr>
          <w:rFonts w:ascii="CenturySchoolbook" w:hAnsi="CenturySchoolbook" w:cs="CenturySchoolbook"/>
          <w:lang w:eastAsia="fr-FR"/>
        </w:rPr>
        <w:t xml:space="preserve"> Mises peut être définie par :</w:t>
      </w:r>
    </w:p>
    <w:p w:rsidR="00EC4629" w:rsidRDefault="005F726B" w:rsidP="005F726B">
      <w:pPr>
        <w:autoSpaceDE w:val="0"/>
        <w:autoSpaceDN w:val="0"/>
        <w:adjustRightInd w:val="0"/>
        <w:spacing w:after="0" w:line="240" w:lineRule="auto"/>
        <w:jc w:val="center"/>
        <w:rPr>
          <w:rFonts w:ascii="CenturySchoolbook" w:hAnsi="CenturySchoolbook" w:cs="CenturySchoolbook"/>
          <w:lang w:eastAsia="fr-FR"/>
        </w:rPr>
      </w:pPr>
      <w:r w:rsidRPr="005F726B">
        <w:rPr>
          <w:rFonts w:ascii="CenturySchoolbook" w:hAnsi="CenturySchoolbook" w:cs="CenturySchoolbook"/>
          <w:noProof/>
          <w:lang w:eastAsia="fr-FR"/>
        </w:rPr>
        <w:drawing>
          <wp:inline distT="0" distB="0" distL="0" distR="0">
            <wp:extent cx="3686175" cy="657225"/>
            <wp:effectExtent l="0" t="0" r="9525"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86175" cy="657225"/>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Où </w:t>
      </w:r>
      <m:oMath>
        <m:r>
          <w:rPr>
            <w:rFonts w:ascii="Cambria Math" w:eastAsia="SymbolMT" w:hAnsi="Cambria Math" w:cs="SymbolMT"/>
            <w:color w:val="000000"/>
            <w:sz w:val="17"/>
            <w:szCs w:val="17"/>
            <w:lang w:eastAsia="fr-FR"/>
          </w:rPr>
          <m:t>θ</m:t>
        </m:r>
      </m:oMath>
      <w:r>
        <w:rPr>
          <w:rFonts w:ascii="SymbolMT" w:eastAsia="SymbolMT" w:hAnsi="CenturySchoolbook" w:cs="SymbolMT"/>
          <w:color w:val="000000"/>
          <w:sz w:val="17"/>
          <w:szCs w:val="17"/>
          <w:lang w:eastAsia="fr-FR"/>
        </w:rPr>
        <w:t xml:space="preserve"> </w:t>
      </w:r>
      <w:r>
        <w:rPr>
          <w:rFonts w:ascii="CenturySchoolbook" w:hAnsi="CenturySchoolbook" w:cs="CenturySchoolbook"/>
          <w:color w:val="000000"/>
          <w:lang w:eastAsia="fr-FR"/>
        </w:rPr>
        <w:t xml:space="preserve">est l’angle de rotation, </w:t>
      </w:r>
      <w:r>
        <w:rPr>
          <w:rFonts w:ascii="CenturySchoolbook-Italic" w:hAnsi="CenturySchoolbook-Italic" w:cs="CenturySchoolbook-Italic"/>
          <w:i/>
          <w:iCs/>
          <w:color w:val="000000"/>
          <w:sz w:val="18"/>
          <w:szCs w:val="18"/>
          <w:lang w:eastAsia="fr-FR"/>
        </w:rPr>
        <w:t xml:space="preserve">N </w:t>
      </w:r>
      <w:r>
        <w:rPr>
          <w:rFonts w:ascii="CenturySchoolbook" w:hAnsi="CenturySchoolbook" w:cs="CenturySchoolbook"/>
          <w:color w:val="000000"/>
          <w:lang w:eastAsia="fr-FR"/>
        </w:rPr>
        <w:t xml:space="preserve">est le nombre de tour effectué, </w:t>
      </w:r>
      <w:r>
        <w:rPr>
          <w:rFonts w:ascii="CenturySchoolbook-Italic" w:hAnsi="CenturySchoolbook-Italic" w:cs="CenturySchoolbook-Italic"/>
          <w:i/>
          <w:iCs/>
          <w:color w:val="000000"/>
          <w:sz w:val="21"/>
          <w:szCs w:val="21"/>
          <w:lang w:eastAsia="fr-FR"/>
        </w:rPr>
        <w:t xml:space="preserve">r </w:t>
      </w:r>
      <w:r>
        <w:rPr>
          <w:rFonts w:ascii="CenturySchoolbook" w:hAnsi="CenturySchoolbook" w:cs="CenturySchoolbook"/>
          <w:color w:val="000000"/>
          <w:lang w:eastAsia="fr-FR"/>
        </w:rPr>
        <w:t xml:space="preserve">est le rayon et </w:t>
      </w:r>
      <w:r>
        <w:rPr>
          <w:rFonts w:ascii="CenturySchoolbook-Italic" w:hAnsi="CenturySchoolbook-Italic" w:cs="CenturySchoolbook-Italic"/>
          <w:i/>
          <w:iCs/>
          <w:color w:val="000000"/>
          <w:sz w:val="18"/>
          <w:szCs w:val="18"/>
          <w:lang w:eastAsia="fr-FR"/>
        </w:rPr>
        <w:t xml:space="preserve">t </w:t>
      </w:r>
      <w:r>
        <w:rPr>
          <w:rFonts w:ascii="CenturySchoolbook" w:hAnsi="CenturySchoolbook" w:cs="CenturySchoolbook"/>
          <w:color w:val="000000"/>
          <w:lang w:eastAsia="fr-FR"/>
        </w:rPr>
        <w:t>l’épaisseur de l’échantillon. La déformation dans l’épaisseur est supposée constante. Un</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gradient de déformation est donc observé à travers le rayon. Il est possible d’y remédier</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en accroissant l’épaisseur de l’échantillon avec l’augmentation du rayon pour conserver</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une déformation constante (</w:t>
      </w:r>
      <w:proofErr w:type="spellStart"/>
      <w:r>
        <w:rPr>
          <w:rFonts w:ascii="CenturySchoolbook" w:hAnsi="CenturySchoolbook" w:cs="CenturySchoolbook"/>
          <w:color w:val="0000FF"/>
          <w:lang w:eastAsia="fr-FR"/>
        </w:rPr>
        <w:t>Erbel</w:t>
      </w:r>
      <w:proofErr w:type="spellEnd"/>
      <w:r>
        <w:rPr>
          <w:rFonts w:ascii="CenturySchoolbook" w:hAnsi="CenturySchoolbook" w:cs="CenturySchoolbook"/>
          <w:color w:val="0000FF"/>
          <w:lang w:eastAsia="fr-FR"/>
        </w:rPr>
        <w:t>, 1979</w:t>
      </w:r>
      <w:r>
        <w:rPr>
          <w:rFonts w:ascii="CenturySchoolbook" w:hAnsi="CenturySchoolbook" w:cs="CenturySchoolbook"/>
          <w:color w:val="000000"/>
          <w:lang w:eastAsia="fr-FR"/>
        </w:rPr>
        <w:t>). La déformation au centre du disque étant</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nulle, il serait nécessaire d’avoir une épaisseur infinie pour obtenir une déformation</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 xml:space="preserve">constante dans l’épaisseur. Néanmoins, ce qui est important dans un matériau </w:t>
      </w:r>
      <w:proofErr w:type="spellStart"/>
      <w:r>
        <w:rPr>
          <w:rFonts w:ascii="CenturySchoolbook" w:hAnsi="CenturySchoolbook" w:cs="CenturySchoolbook"/>
          <w:color w:val="000000"/>
          <w:lang w:eastAsia="fr-FR"/>
        </w:rPr>
        <w:t>hyperdéformé</w:t>
      </w:r>
      <w:proofErr w:type="spellEnd"/>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est l'homogénéité de la limite d'élasticité, pas la déformation. Il a été démontré</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dans plusieurs études que cela est possible quand la déformation est très élevée car</w:t>
      </w:r>
      <w:r>
        <w:rPr>
          <w:rFonts w:ascii="CenturySchoolbook-Italic" w:hAnsi="CenturySchoolbook-Italic" w:cs="CenturySchoolbook-Italic"/>
          <w:i/>
          <w:iCs/>
          <w:color w:val="000000"/>
          <w:sz w:val="18"/>
          <w:szCs w:val="18"/>
          <w:lang w:eastAsia="fr-FR"/>
        </w:rPr>
        <w:t xml:space="preserve"> </w:t>
      </w:r>
      <w:r>
        <w:rPr>
          <w:rFonts w:ascii="CenturySchoolbook" w:hAnsi="CenturySchoolbook" w:cs="CenturySchoolbook"/>
          <w:color w:val="000000"/>
          <w:lang w:eastAsia="fr-FR"/>
        </w:rPr>
        <w:t>l'écrouissage par déformation plastique sature.</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p>
    <w:p w:rsidR="005F726B" w:rsidRDefault="005F726B" w:rsidP="005F726B">
      <w:pPr>
        <w:autoSpaceDE w:val="0"/>
        <w:autoSpaceDN w:val="0"/>
        <w:adjustRightInd w:val="0"/>
        <w:spacing w:after="0" w:line="240" w:lineRule="auto"/>
        <w:jc w:val="center"/>
        <w:rPr>
          <w:rFonts w:ascii="CenturySchoolbook-Italic" w:hAnsi="CenturySchoolbook-Italic" w:cs="CenturySchoolbook-Italic"/>
          <w:i/>
          <w:iCs/>
          <w:color w:val="000000"/>
          <w:sz w:val="18"/>
          <w:szCs w:val="18"/>
          <w:lang w:eastAsia="fr-FR"/>
        </w:rPr>
      </w:pPr>
      <w:r w:rsidRPr="005F726B">
        <w:rPr>
          <w:rFonts w:ascii="CenturySchoolbook-Italic" w:hAnsi="CenturySchoolbook-Italic" w:cs="CenturySchoolbook-Italic"/>
          <w:i/>
          <w:iCs/>
          <w:noProof/>
          <w:color w:val="000000"/>
          <w:sz w:val="18"/>
          <w:szCs w:val="18"/>
          <w:lang w:eastAsia="fr-FR"/>
        </w:rPr>
        <w:drawing>
          <wp:inline distT="0" distB="0" distL="0" distR="0">
            <wp:extent cx="4105275" cy="2609850"/>
            <wp:effectExtent l="0" t="0" r="952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05275" cy="2609850"/>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rPr>
          <w:rFonts w:ascii="CenturySchoolbook-Italic" w:hAnsi="CenturySchoolbook-Italic" w:cs="CenturySchoolbook-Italic"/>
          <w:color w:val="000000"/>
          <w:sz w:val="18"/>
          <w:szCs w:val="18"/>
          <w:lang w:eastAsia="fr-FR"/>
        </w:rPr>
      </w:pPr>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Ce procédé est très utilisé pour des études académiques car il permet d’affiner des microstructures relativement facilement mais n’est pas encore industrialisable de par les dimensions des échantillons beaucoup trop petites. En effet, les disques utilisés ont généralement une épaisseur de quelques millimètres et un rayon de l’ordre du centimètre.</w:t>
      </w:r>
    </w:p>
    <w:p w:rsidR="005F726B" w:rsidRDefault="005F726B" w:rsidP="005F726B">
      <w:pPr>
        <w:autoSpaceDE w:val="0"/>
        <w:autoSpaceDN w:val="0"/>
        <w:adjustRightInd w:val="0"/>
        <w:spacing w:after="0" w:line="240" w:lineRule="auto"/>
        <w:rPr>
          <w:rFonts w:ascii="CenturySchoolbook-Bold" w:hAnsi="CenturySchoolbook-Bold" w:cs="CenturySchoolbook-Bold"/>
          <w:b/>
          <w:bCs/>
          <w:sz w:val="28"/>
          <w:szCs w:val="28"/>
          <w:lang w:eastAsia="fr-FR"/>
        </w:rPr>
      </w:pPr>
    </w:p>
    <w:p w:rsidR="005F726B" w:rsidRDefault="005F726B" w:rsidP="005F726B">
      <w:pPr>
        <w:autoSpaceDE w:val="0"/>
        <w:autoSpaceDN w:val="0"/>
        <w:adjustRightInd w:val="0"/>
        <w:spacing w:after="0" w:line="240" w:lineRule="auto"/>
        <w:rPr>
          <w:rFonts w:ascii="CenturySchoolbook-Bold" w:hAnsi="CenturySchoolbook-Bold" w:cs="CenturySchoolbook-Bold"/>
          <w:b/>
          <w:bCs/>
          <w:sz w:val="28"/>
          <w:szCs w:val="28"/>
          <w:lang w:eastAsia="fr-FR"/>
        </w:rPr>
      </w:pPr>
      <w:r>
        <w:rPr>
          <w:rFonts w:ascii="CenturySchoolbook-Bold" w:hAnsi="CenturySchoolbook-Bold" w:cs="CenturySchoolbook-Bold"/>
          <w:b/>
          <w:bCs/>
          <w:sz w:val="28"/>
          <w:szCs w:val="28"/>
          <w:lang w:eastAsia="fr-FR"/>
        </w:rPr>
        <w:t>1.1.3 Autres procédés d’</w:t>
      </w:r>
      <w:proofErr w:type="spellStart"/>
      <w:r>
        <w:rPr>
          <w:rFonts w:ascii="CenturySchoolbook-Bold" w:hAnsi="CenturySchoolbook-Bold" w:cs="CenturySchoolbook-Bold"/>
          <w:b/>
          <w:bCs/>
          <w:sz w:val="28"/>
          <w:szCs w:val="28"/>
          <w:lang w:eastAsia="fr-FR"/>
        </w:rPr>
        <w:t>hyperdéformations</w:t>
      </w:r>
      <w:proofErr w:type="spellEnd"/>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De nombreux autres procédés d’</w:t>
      </w:r>
      <w:proofErr w:type="spellStart"/>
      <w:r>
        <w:rPr>
          <w:rFonts w:ascii="CenturySchoolbook" w:hAnsi="CenturySchoolbook" w:cs="CenturySchoolbook"/>
          <w:lang w:eastAsia="fr-FR"/>
        </w:rPr>
        <w:t>hyperdéformation</w:t>
      </w:r>
      <w:proofErr w:type="spellEnd"/>
      <w:r>
        <w:rPr>
          <w:rFonts w:ascii="CenturySchoolbook" w:hAnsi="CenturySchoolbook" w:cs="CenturySchoolbook"/>
          <w:lang w:eastAsia="fr-FR"/>
        </w:rPr>
        <w:t xml:space="preserve"> ont été conçus et étudiés comme par exemple </w:t>
      </w:r>
      <w:proofErr w:type="spellStart"/>
      <w:r>
        <w:rPr>
          <w:rFonts w:ascii="CenturySchoolbook" w:hAnsi="CenturySchoolbook" w:cs="CenturySchoolbook"/>
          <w:lang w:eastAsia="fr-FR"/>
        </w:rPr>
        <w:t>Accumulated</w:t>
      </w:r>
      <w:proofErr w:type="spellEnd"/>
      <w:r>
        <w:rPr>
          <w:rFonts w:ascii="CenturySchoolbook" w:hAnsi="CenturySchoolbook" w:cs="CenturySchoolbook"/>
          <w:lang w:eastAsia="fr-FR"/>
        </w:rPr>
        <w:t xml:space="preserve"> Roll </w:t>
      </w:r>
      <w:proofErr w:type="spellStart"/>
      <w:r>
        <w:rPr>
          <w:rFonts w:ascii="CenturySchoolbook" w:hAnsi="CenturySchoolbook" w:cs="CenturySchoolbook"/>
          <w:lang w:eastAsia="fr-FR"/>
        </w:rPr>
        <w:t>Bonding</w:t>
      </w:r>
      <w:proofErr w:type="spellEnd"/>
      <w:r>
        <w:rPr>
          <w:rFonts w:ascii="CenturySchoolbook" w:hAnsi="CenturySchoolbook" w:cs="CenturySchoolbook"/>
          <w:lang w:eastAsia="fr-FR"/>
        </w:rPr>
        <w:t xml:space="preserve"> (ARB), Twist Extrusion (TE) et </w:t>
      </w:r>
      <w:proofErr w:type="spellStart"/>
      <w:r>
        <w:rPr>
          <w:rFonts w:ascii="CenturySchoolbook" w:hAnsi="CenturySchoolbook" w:cs="CenturySchoolbook"/>
          <w:lang w:eastAsia="fr-FR"/>
        </w:rPr>
        <w:t>Cyclic</w:t>
      </w:r>
      <w:proofErr w:type="spellEnd"/>
      <w:r>
        <w:rPr>
          <w:rFonts w:ascii="CenturySchoolbook" w:hAnsi="CenturySchoolbook" w:cs="CenturySchoolbook"/>
          <w:lang w:eastAsia="fr-FR"/>
        </w:rPr>
        <w:t xml:space="preserve"> Extrusion and Compression (CEC). Certains sont synthétisés dans le tableau 1.1.</w:t>
      </w:r>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sidRPr="005F726B">
        <w:rPr>
          <w:rFonts w:ascii="CenturySchoolbook" w:hAnsi="CenturySchoolbook" w:cs="CenturySchoolbook"/>
          <w:noProof/>
          <w:lang w:eastAsia="fr-FR"/>
        </w:rPr>
        <w:lastRenderedPageBreak/>
        <w:drawing>
          <wp:inline distT="0" distB="0" distL="0" distR="0">
            <wp:extent cx="5286375" cy="4324350"/>
            <wp:effectExtent l="0" t="0" r="952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375" cy="4324350"/>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rPr>
          <w:rFonts w:ascii="CenturySchoolbook" w:hAnsi="CenturySchoolbook" w:cs="CenturySchoolbook"/>
          <w:lang w:eastAsia="fr-FR"/>
        </w:rPr>
      </w:pPr>
    </w:p>
    <w:p w:rsidR="005F726B" w:rsidRDefault="005F726B" w:rsidP="005F726B">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r>
        <w:rPr>
          <w:rFonts w:ascii="CenturySchoolbook-Bold" w:hAnsi="CenturySchoolbook-Bold" w:cs="CenturySchoolbook-Bold"/>
          <w:b/>
          <w:bCs/>
          <w:color w:val="000000"/>
          <w:sz w:val="28"/>
          <w:szCs w:val="28"/>
          <w:lang w:eastAsia="fr-FR"/>
        </w:rPr>
        <w:t>1.1.4 Procédés pour échantillons tubulaires</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D’autres procédés permettent de déformer des échantillons de formes tubulaires. En effet, ECAE permet des géométries parallélépipédiques ou cylindriques, HPT des géométries cylindriques. La figure 1.4 présente le procédé High Pressure Tube </w:t>
      </w:r>
      <w:proofErr w:type="spellStart"/>
      <w:r>
        <w:rPr>
          <w:rFonts w:ascii="CenturySchoolbook" w:hAnsi="CenturySchoolbook" w:cs="CenturySchoolbook"/>
          <w:color w:val="000000"/>
          <w:lang w:eastAsia="fr-FR"/>
        </w:rPr>
        <w:t>Twisting</w:t>
      </w:r>
      <w:proofErr w:type="spellEnd"/>
      <w:r>
        <w:rPr>
          <w:rFonts w:ascii="CenturySchoolbook" w:hAnsi="CenturySchoolbook" w:cs="CenturySchoolbook"/>
          <w:color w:val="000000"/>
          <w:lang w:eastAsia="fr-FR"/>
        </w:rPr>
        <w:t>.</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Ce procédé a été développé au sein du LEM3 durant la thèse d’</w:t>
      </w:r>
      <w:proofErr w:type="spellStart"/>
      <w:r>
        <w:rPr>
          <w:rFonts w:ascii="CenturySchoolbook" w:hAnsi="CenturySchoolbook" w:cs="CenturySchoolbook"/>
          <w:color w:val="000000"/>
          <w:lang w:eastAsia="fr-FR"/>
        </w:rPr>
        <w:t>Arzaghi</w:t>
      </w:r>
      <w:proofErr w:type="spellEnd"/>
      <w:r>
        <w:rPr>
          <w:rFonts w:ascii="CenturySchoolbook" w:hAnsi="CenturySchoolbook" w:cs="CenturySchoolbook"/>
          <w:color w:val="000000"/>
          <w:lang w:eastAsia="fr-FR"/>
        </w:rPr>
        <w:t xml:space="preserve"> (</w:t>
      </w:r>
      <w:r>
        <w:rPr>
          <w:rFonts w:ascii="CenturySchoolbook" w:hAnsi="CenturySchoolbook" w:cs="CenturySchoolbook"/>
          <w:color w:val="0000FF"/>
          <w:lang w:eastAsia="fr-FR"/>
        </w:rPr>
        <w:t>2010</w:t>
      </w:r>
      <w:r>
        <w:rPr>
          <w:rFonts w:ascii="CenturySchoolbook" w:hAnsi="CenturySchoolbook" w:cs="CenturySchoolbook"/>
          <w:color w:val="000000"/>
          <w:lang w:eastAsia="fr-FR"/>
        </w:rPr>
        <w:t xml:space="preserve">) et publié par Toth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2009</w:t>
      </w:r>
      <w:r>
        <w:rPr>
          <w:rFonts w:ascii="CenturySchoolbook" w:hAnsi="CenturySchoolbook" w:cs="CenturySchoolbook"/>
          <w:color w:val="000000"/>
          <w:lang w:eastAsia="fr-FR"/>
        </w:rPr>
        <w:t>) permet d’appliquer un cisaillement dans l’épaisseur du tube.</w:t>
      </w:r>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color w:val="000000"/>
          <w:lang w:eastAsia="fr-FR"/>
        </w:rPr>
        <w:t xml:space="preserve">Une grande pression hydrostatique est appliquée sur l’échantillon par l’intermédiaire d’un piston (figure 1.4). Ce dernier se dilate sous l’effet de la force axiale pour comprimer </w:t>
      </w:r>
      <w:r>
        <w:rPr>
          <w:rFonts w:ascii="CenturySchoolbook" w:hAnsi="CenturySchoolbook" w:cs="CenturySchoolbook"/>
          <w:lang w:eastAsia="fr-FR"/>
        </w:rPr>
        <w:t xml:space="preserve">l’échantillon. La rotation de la matrice extérieure engendre une déformation en cisaillement à travers l’épaisseur du tube. La déformation équivalente, au sens de </w:t>
      </w:r>
      <w:proofErr w:type="spellStart"/>
      <w:r>
        <w:rPr>
          <w:rFonts w:ascii="CenturySchoolbook" w:hAnsi="CenturySchoolbook" w:cs="CenturySchoolbook"/>
          <w:lang w:eastAsia="fr-FR"/>
        </w:rPr>
        <w:t>von</w:t>
      </w:r>
      <w:proofErr w:type="spellEnd"/>
      <w:r>
        <w:rPr>
          <w:rFonts w:ascii="CenturySchoolbook" w:hAnsi="CenturySchoolbook" w:cs="CenturySchoolbook"/>
          <w:lang w:eastAsia="fr-FR"/>
        </w:rPr>
        <w:t xml:space="preserve"> Mises, dans l’épaisseur du tube peut être calculée comme suit :</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sidRPr="005F726B">
        <w:rPr>
          <w:rFonts w:ascii="CenturySchoolbook" w:hAnsi="CenturySchoolbook" w:cs="CenturySchoolbook"/>
          <w:noProof/>
          <w:color w:val="000000"/>
          <w:lang w:eastAsia="fr-FR"/>
        </w:rPr>
        <w:drawing>
          <wp:inline distT="0" distB="0" distL="0" distR="0">
            <wp:extent cx="3476625" cy="504825"/>
            <wp:effectExtent l="0" t="0" r="9525"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76625" cy="504825"/>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Où </w:t>
      </w:r>
      <m:oMath>
        <m:r>
          <w:rPr>
            <w:rFonts w:ascii="Cambria Math" w:eastAsia="SymbolMT" w:hAnsi="Cambria Math" w:cs="SymbolMT"/>
            <w:sz w:val="21"/>
            <w:szCs w:val="21"/>
            <w:lang w:eastAsia="fr-FR"/>
          </w:rPr>
          <m:t>θ</m:t>
        </m:r>
      </m:oMath>
      <w:r>
        <w:rPr>
          <w:rFonts w:ascii="SymbolMT" w:eastAsia="SymbolMT" w:hAnsi="CenturySchoolbook" w:cs="SymbolMT"/>
          <w:sz w:val="21"/>
          <w:szCs w:val="21"/>
          <w:lang w:eastAsia="fr-FR"/>
        </w:rPr>
        <w:t xml:space="preserve"> </w:t>
      </w:r>
      <w:r>
        <w:rPr>
          <w:rFonts w:ascii="CenturySchoolbook" w:hAnsi="CenturySchoolbook" w:cs="CenturySchoolbook"/>
          <w:lang w:eastAsia="fr-FR"/>
        </w:rPr>
        <w:t xml:space="preserve">est l’angle de rotation, </w:t>
      </w:r>
      <w:r>
        <w:rPr>
          <w:rFonts w:ascii="CenturySchoolbook-Italic" w:hAnsi="CenturySchoolbook-Italic" w:cs="CenturySchoolbook-Italic"/>
          <w:i/>
          <w:iCs/>
          <w:sz w:val="18"/>
          <w:szCs w:val="18"/>
          <w:lang w:eastAsia="fr-FR"/>
        </w:rPr>
        <w:t xml:space="preserve">N </w:t>
      </w:r>
      <w:r>
        <w:rPr>
          <w:rFonts w:ascii="CenturySchoolbook" w:hAnsi="CenturySchoolbook" w:cs="CenturySchoolbook"/>
          <w:lang w:eastAsia="fr-FR"/>
        </w:rPr>
        <w:t xml:space="preserve">est le nombre de tour effectué, </w:t>
      </w:r>
      <w:r>
        <w:rPr>
          <w:rFonts w:ascii="CenturySchoolbook-Italic" w:hAnsi="CenturySchoolbook-Italic" w:cs="CenturySchoolbook-Italic"/>
          <w:i/>
          <w:iCs/>
          <w:sz w:val="17"/>
          <w:szCs w:val="17"/>
          <w:lang w:eastAsia="fr-FR"/>
        </w:rPr>
        <w:t xml:space="preserve">r </w:t>
      </w:r>
      <w:r>
        <w:rPr>
          <w:rFonts w:ascii="CenturySchoolbook" w:hAnsi="CenturySchoolbook" w:cs="CenturySchoolbook"/>
          <w:lang w:eastAsia="fr-FR"/>
        </w:rPr>
        <w:t xml:space="preserve">est le rayon et </w:t>
      </w:r>
      <w:r>
        <w:rPr>
          <w:rFonts w:ascii="CenturySchoolbook-Italic" w:hAnsi="CenturySchoolbook-Italic" w:cs="CenturySchoolbook-Italic"/>
          <w:i/>
          <w:iCs/>
          <w:sz w:val="18"/>
          <w:szCs w:val="18"/>
          <w:lang w:eastAsia="fr-FR"/>
        </w:rPr>
        <w:t xml:space="preserve">t </w:t>
      </w:r>
      <w:r>
        <w:rPr>
          <w:rFonts w:ascii="CenturySchoolbook" w:hAnsi="CenturySchoolbook" w:cs="CenturySchoolbook"/>
          <w:lang w:eastAsia="fr-FR"/>
        </w:rPr>
        <w:t>l’épaisseur de l’échantillon.</w:t>
      </w:r>
    </w:p>
    <w:p w:rsidR="005F726B" w:rsidRDefault="005F726B" w:rsidP="005F726B">
      <w:pPr>
        <w:autoSpaceDE w:val="0"/>
        <w:autoSpaceDN w:val="0"/>
        <w:adjustRightInd w:val="0"/>
        <w:spacing w:after="0" w:line="240" w:lineRule="auto"/>
        <w:rPr>
          <w:rFonts w:ascii="CenturySchoolbook" w:hAnsi="CenturySchoolbook" w:cs="CenturySchoolbook"/>
          <w:lang w:eastAsia="fr-FR"/>
        </w:rPr>
      </w:pPr>
      <w:r w:rsidRPr="005F726B">
        <w:rPr>
          <w:rFonts w:ascii="CenturySchoolbook" w:hAnsi="CenturySchoolbook" w:cs="CenturySchoolbook"/>
          <w:noProof/>
          <w:lang w:eastAsia="fr-FR"/>
        </w:rPr>
        <w:lastRenderedPageBreak/>
        <w:drawing>
          <wp:inline distT="0" distB="0" distL="0" distR="0">
            <wp:extent cx="5760720" cy="2794533"/>
            <wp:effectExtent l="0" t="0" r="0" b="635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794533"/>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1.4 – Schéma d’HPTT (</w:t>
      </w:r>
      <w:proofErr w:type="spellStart"/>
      <w:r>
        <w:rPr>
          <w:rFonts w:ascii="CenturySchoolbook" w:hAnsi="CenturySchoolbook" w:cs="CenturySchoolbook"/>
          <w:color w:val="0000FF"/>
          <w:lang w:eastAsia="fr-FR"/>
        </w:rPr>
        <w:t>Tóth</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2009</w:t>
      </w:r>
      <w:r>
        <w:rPr>
          <w:rFonts w:ascii="CenturySchoolbook" w:hAnsi="CenturySchoolbook" w:cs="CenturySchoolbook"/>
          <w:color w:val="000000"/>
          <w:lang w:eastAsia="fr-FR"/>
        </w:rPr>
        <w:t>).</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Un procédé de compression torsion a été développé par </w:t>
      </w:r>
      <w:proofErr w:type="spellStart"/>
      <w:r>
        <w:rPr>
          <w:rFonts w:ascii="CenturySchoolbook" w:hAnsi="CenturySchoolbook" w:cs="CenturySchoolbook"/>
          <w:color w:val="000000"/>
          <w:lang w:eastAsia="fr-FR"/>
        </w:rPr>
        <w:t>Saunders</w:t>
      </w:r>
      <w:proofErr w:type="spellEnd"/>
      <w:r>
        <w:rPr>
          <w:rFonts w:ascii="CenturySchoolbook" w:hAnsi="CenturySchoolbook" w:cs="CenturySchoolbook"/>
          <w:color w:val="000000"/>
          <w:lang w:eastAsia="fr-FR"/>
        </w:rPr>
        <w:t xml:space="preserve"> &amp; </w:t>
      </w:r>
      <w:proofErr w:type="spellStart"/>
      <w:r>
        <w:rPr>
          <w:rFonts w:ascii="CenturySchoolbook" w:hAnsi="CenturySchoolbook" w:cs="CenturySchoolbook"/>
          <w:color w:val="000000"/>
          <w:lang w:eastAsia="fr-FR"/>
        </w:rPr>
        <w:t>Nutting</w:t>
      </w:r>
      <w:proofErr w:type="spellEnd"/>
      <w:r>
        <w:rPr>
          <w:rFonts w:ascii="CenturySchoolbook" w:hAnsi="CenturySchoolbook" w:cs="CenturySchoolbook"/>
          <w:color w:val="000000"/>
          <w:lang w:eastAsia="fr-FR"/>
        </w:rPr>
        <w:t xml:space="preserve"> (</w:t>
      </w:r>
      <w:r>
        <w:rPr>
          <w:rFonts w:ascii="CenturySchoolbook" w:hAnsi="CenturySchoolbook" w:cs="CenturySchoolbook"/>
          <w:color w:val="0000FF"/>
          <w:lang w:eastAsia="fr-FR"/>
        </w:rPr>
        <w:t>1984</w:t>
      </w:r>
      <w:r>
        <w:rPr>
          <w:rFonts w:ascii="CenturySchoolbook" w:hAnsi="CenturySchoolbook" w:cs="CenturySchoolbook"/>
          <w:color w:val="000000"/>
          <w:lang w:eastAsia="fr-FR"/>
        </w:rPr>
        <w:t>) permettant d’introduire de grandes déformations plastiques sur des anneaux.</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L’épaisseur de ce dernier variant avec le rayon, cela permettait de palier au gradient de déformation suivant le rayon. D’autres procédés pour échantillons tubulaires ont vu le jour, comme présenté sur la figure 1.5. Le procédé HPTT modifié (</w:t>
      </w:r>
      <w:proofErr w:type="spellStart"/>
      <w:r>
        <w:rPr>
          <w:rFonts w:ascii="CenturySchoolbook" w:hAnsi="CenturySchoolbook" w:cs="CenturySchoolbook"/>
          <w:color w:val="0000FF"/>
          <w:lang w:eastAsia="fr-FR"/>
        </w:rPr>
        <w:t>Lapovok</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2012</w:t>
      </w:r>
      <w:r>
        <w:rPr>
          <w:rFonts w:ascii="CenturySchoolbook" w:hAnsi="CenturySchoolbook" w:cs="CenturySchoolbook"/>
          <w:color w:val="000000"/>
          <w:lang w:eastAsia="fr-FR"/>
        </w:rPr>
        <w:t xml:space="preserve">) a été étudié et testé pour réaliser des échantillons </w:t>
      </w:r>
      <w:proofErr w:type="spellStart"/>
      <w:r>
        <w:rPr>
          <w:rFonts w:ascii="CenturySchoolbook" w:hAnsi="CenturySchoolbook" w:cs="CenturySchoolbook"/>
          <w:color w:val="000000"/>
          <w:lang w:eastAsia="fr-FR"/>
        </w:rPr>
        <w:t>bi-métallique</w:t>
      </w:r>
      <w:proofErr w:type="spellEnd"/>
      <w:r>
        <w:rPr>
          <w:rFonts w:ascii="CenturySchoolbook" w:hAnsi="CenturySchoolbook" w:cs="CenturySchoolbook"/>
          <w:color w:val="000000"/>
          <w:lang w:eastAsia="fr-FR"/>
        </w:rPr>
        <w:t xml:space="preserve"> Cuivre-Aluminium (figure</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1.5a). Le procédé TCAP (</w:t>
      </w:r>
      <w:proofErr w:type="spellStart"/>
      <w:r>
        <w:rPr>
          <w:rFonts w:ascii="CenturySchoolbook" w:hAnsi="CenturySchoolbook" w:cs="CenturySchoolbook"/>
          <w:color w:val="0000FF"/>
          <w:lang w:eastAsia="fr-FR"/>
        </w:rPr>
        <w:t>Faraji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2011</w:t>
      </w:r>
      <w:r>
        <w:rPr>
          <w:rFonts w:ascii="CenturySchoolbook" w:hAnsi="CenturySchoolbook" w:cs="CenturySchoolbook"/>
          <w:color w:val="000000"/>
          <w:lang w:eastAsia="fr-FR"/>
        </w:rPr>
        <w:t xml:space="preserve">) se rapproche quant à lui d’ECAE. En effet, la déformation se fait par extrusion dans un canal axisymétrique (figure 1.5b) à travers 3 coudes. Un dernier procédé développé par </w:t>
      </w:r>
      <w:proofErr w:type="spellStart"/>
      <w:r>
        <w:rPr>
          <w:rFonts w:ascii="CenturySchoolbook" w:hAnsi="CenturySchoolbook" w:cs="CenturySchoolbook"/>
          <w:color w:val="000000"/>
          <w:lang w:eastAsia="fr-FR"/>
        </w:rPr>
        <w:t>Nagasekhar</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2006</w:t>
      </w:r>
      <w:r>
        <w:rPr>
          <w:rFonts w:ascii="CenturySchoolbook" w:hAnsi="CenturySchoolbook" w:cs="CenturySchoolbook"/>
          <w:color w:val="000000"/>
          <w:lang w:eastAsia="fr-FR"/>
        </w:rPr>
        <w:t>) permettant de déformer des tubes, s’apparente plus au procédé ECAE puisque la section carrée du procédé ECAE est remplacée par une section circulaire évidée. L’inconvénient de ce procédé est la déformation non homogène tout autour du tube. En effet, tout comme le procédé ECAE, la déformation n’est pas constante dans toute la hauteur du canal.</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sidRPr="005F726B">
        <w:rPr>
          <w:rFonts w:ascii="CenturySchoolbook" w:hAnsi="CenturySchoolbook" w:cs="CenturySchoolbook"/>
          <w:noProof/>
          <w:color w:val="000000"/>
          <w:lang w:eastAsia="fr-FR"/>
        </w:rPr>
        <w:drawing>
          <wp:inline distT="0" distB="0" distL="0" distR="0">
            <wp:extent cx="4752975" cy="1314450"/>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2975" cy="1314450"/>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1.5 – a) Procédé HPTT modifié (</w:t>
      </w:r>
      <w:proofErr w:type="spellStart"/>
      <w:r>
        <w:rPr>
          <w:rFonts w:ascii="CenturySchoolbook" w:hAnsi="CenturySchoolbook" w:cs="CenturySchoolbook"/>
          <w:color w:val="0000FF"/>
          <w:lang w:eastAsia="fr-FR"/>
        </w:rPr>
        <w:t>Lapovok</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2012</w:t>
      </w:r>
      <w:r>
        <w:rPr>
          <w:rFonts w:ascii="CenturySchoolbook" w:hAnsi="CenturySchoolbook" w:cs="CenturySchoolbook"/>
          <w:color w:val="000000"/>
          <w:lang w:eastAsia="fr-FR"/>
        </w:rPr>
        <w:t xml:space="preserve">), b) </w:t>
      </w:r>
      <w:proofErr w:type="spellStart"/>
      <w:r>
        <w:rPr>
          <w:rFonts w:ascii="CenturySchoolbook" w:hAnsi="CenturySchoolbook" w:cs="CenturySchoolbook"/>
          <w:color w:val="000000"/>
          <w:lang w:eastAsia="fr-FR"/>
        </w:rPr>
        <w:t>Tubular</w:t>
      </w:r>
      <w:proofErr w:type="spellEnd"/>
      <w:r>
        <w:rPr>
          <w:rFonts w:ascii="CenturySchoolbook" w:hAnsi="CenturySchoolbook" w:cs="CenturySchoolbook"/>
          <w:color w:val="000000"/>
          <w:lang w:eastAsia="fr-FR"/>
        </w:rPr>
        <w:t xml:space="preserve"> Channel </w:t>
      </w:r>
      <w:proofErr w:type="spellStart"/>
      <w:r>
        <w:rPr>
          <w:rFonts w:ascii="CenturySchoolbook" w:hAnsi="CenturySchoolbook" w:cs="CenturySchoolbook"/>
          <w:color w:val="000000"/>
          <w:lang w:eastAsia="fr-FR"/>
        </w:rPr>
        <w:t>Angular</w:t>
      </w:r>
      <w:proofErr w:type="spellEnd"/>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Pressing (TCAP) (</w:t>
      </w:r>
      <w:proofErr w:type="spellStart"/>
      <w:r>
        <w:rPr>
          <w:rFonts w:ascii="CenturySchoolbook" w:hAnsi="CenturySchoolbook" w:cs="CenturySchoolbook"/>
          <w:color w:val="0000FF"/>
          <w:lang w:eastAsia="fr-FR"/>
        </w:rPr>
        <w:t>Faraji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2011</w:t>
      </w:r>
      <w:r>
        <w:rPr>
          <w:rFonts w:ascii="CenturySchoolbook" w:hAnsi="CenturySchoolbook" w:cs="CenturySchoolbook"/>
          <w:color w:val="000000"/>
          <w:lang w:eastAsia="fr-FR"/>
        </w:rPr>
        <w:t>).</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Bridgman a aussi proposé un procédé pour cisailler des tubes sous pression axiale</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w:t>
      </w:r>
      <w:r>
        <w:rPr>
          <w:rFonts w:ascii="CenturySchoolbook" w:hAnsi="CenturySchoolbook" w:cs="CenturySchoolbook"/>
          <w:color w:val="0000FF"/>
          <w:lang w:eastAsia="fr-FR"/>
        </w:rPr>
        <w:t>Bridgman, 1935</w:t>
      </w:r>
      <w:r>
        <w:rPr>
          <w:rFonts w:ascii="CenturySchoolbook" w:hAnsi="CenturySchoolbook" w:cs="CenturySchoolbook"/>
          <w:color w:val="000000"/>
          <w:lang w:eastAsia="fr-FR"/>
        </w:rPr>
        <w:t>). En revanche, la déformation en cisaillement se situe aux deux extrémités du tube. De plus, le cisaillement ne s’effectue pas dans la même plan, puisque celui de Bridgman s’apparente à de la torsion (cisaillement entre le haut et bas du tube) comme illustré sur la figure 1.6.</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sidRPr="005F726B">
        <w:rPr>
          <w:rFonts w:ascii="CenturySchoolbook" w:hAnsi="CenturySchoolbook" w:cs="CenturySchoolbook"/>
          <w:noProof/>
          <w:color w:val="000000"/>
          <w:lang w:eastAsia="fr-FR"/>
        </w:rPr>
        <w:drawing>
          <wp:inline distT="0" distB="0" distL="0" distR="0">
            <wp:extent cx="2581275" cy="809625"/>
            <wp:effectExtent l="0" t="0" r="9525"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81275" cy="809625"/>
                    </a:xfrm>
                    <a:prstGeom prst="rect">
                      <a:avLst/>
                    </a:prstGeom>
                    <a:noFill/>
                    <a:ln>
                      <a:noFill/>
                    </a:ln>
                  </pic:spPr>
                </pic:pic>
              </a:graphicData>
            </a:graphic>
          </wp:inline>
        </w:drawing>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1.6 – Section de l’échantillon de torsion avec un pion central pour la stabilité</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w:t>
      </w:r>
      <w:r>
        <w:rPr>
          <w:rFonts w:ascii="CenturySchoolbook" w:hAnsi="CenturySchoolbook" w:cs="CenturySchoolbook"/>
          <w:color w:val="0000FF"/>
          <w:lang w:eastAsia="fr-FR"/>
        </w:rPr>
        <w:t>Bridgman, 1943</w:t>
      </w:r>
      <w:r>
        <w:rPr>
          <w:rFonts w:ascii="CenturySchoolbook" w:hAnsi="CenturySchoolbook" w:cs="CenturySchoolbook"/>
          <w:color w:val="000000"/>
          <w:lang w:eastAsia="fr-FR"/>
        </w:rPr>
        <w:t>).</w:t>
      </w:r>
    </w:p>
    <w:p w:rsidR="005F726B" w:rsidRDefault="005F726B" w:rsidP="005F726B">
      <w:pPr>
        <w:autoSpaceDE w:val="0"/>
        <w:autoSpaceDN w:val="0"/>
        <w:adjustRightInd w:val="0"/>
        <w:spacing w:after="0" w:line="240" w:lineRule="auto"/>
        <w:jc w:val="center"/>
        <w:rPr>
          <w:rFonts w:ascii="CenturySchoolbook" w:hAnsi="CenturySchoolbook" w:cs="CenturySchoolbook"/>
          <w:color w:val="000000"/>
          <w:lang w:eastAsia="fr-FR"/>
        </w:rPr>
      </w:pPr>
    </w:p>
    <w:p w:rsidR="005F726B" w:rsidRDefault="005F726B" w:rsidP="005F726B">
      <w:pPr>
        <w:autoSpaceDE w:val="0"/>
        <w:autoSpaceDN w:val="0"/>
        <w:adjustRightInd w:val="0"/>
        <w:spacing w:after="0" w:line="240" w:lineRule="auto"/>
        <w:rPr>
          <w:rFonts w:ascii="CenturySchoolbook-Bold" w:hAnsi="CenturySchoolbook-Bold" w:cs="CenturySchoolbook-Bold"/>
          <w:b/>
          <w:bCs/>
          <w:color w:val="000000"/>
          <w:sz w:val="32"/>
          <w:szCs w:val="32"/>
          <w:lang w:eastAsia="fr-FR"/>
        </w:rPr>
      </w:pPr>
      <w:r>
        <w:rPr>
          <w:rFonts w:ascii="CenturySchoolbook-Bold" w:hAnsi="CenturySchoolbook-Bold" w:cs="CenturySchoolbook-Bold"/>
          <w:b/>
          <w:bCs/>
          <w:color w:val="000000"/>
          <w:sz w:val="32"/>
          <w:szCs w:val="32"/>
          <w:lang w:eastAsia="fr-FR"/>
        </w:rPr>
        <w:lastRenderedPageBreak/>
        <w:t>1.2 Structure des matériaux à grains ultrafins</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L’affinement de microstructure par les procédés d’</w:t>
      </w:r>
      <w:proofErr w:type="spellStart"/>
      <w:r>
        <w:rPr>
          <w:rFonts w:ascii="CenturySchoolbook" w:hAnsi="CenturySchoolbook" w:cs="CenturySchoolbook"/>
          <w:color w:val="000000"/>
          <w:lang w:eastAsia="fr-FR"/>
        </w:rPr>
        <w:t>hyperdéformations</w:t>
      </w:r>
      <w:proofErr w:type="spellEnd"/>
      <w:r>
        <w:rPr>
          <w:rFonts w:ascii="CenturySchoolbook" w:hAnsi="CenturySchoolbook" w:cs="CenturySchoolbook"/>
          <w:color w:val="000000"/>
          <w:lang w:eastAsia="fr-FR"/>
        </w:rPr>
        <w:t xml:space="preserve"> engendre l’apparition de nouveaux joints de grain à fortes désorientations. Différents mécanismes</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sont responsables de ce phénomène (</w:t>
      </w:r>
      <w:proofErr w:type="spellStart"/>
      <w:r>
        <w:rPr>
          <w:rFonts w:ascii="CenturySchoolbook" w:hAnsi="CenturySchoolbook" w:cs="CenturySchoolbook"/>
          <w:color w:val="0000FF"/>
          <w:lang w:eastAsia="fr-FR"/>
        </w:rPr>
        <w:t>Sevillano</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1980</w:t>
      </w:r>
      <w:r>
        <w:rPr>
          <w:rFonts w:ascii="CenturySchoolbook" w:hAnsi="CenturySchoolbook" w:cs="CenturySchoolbook"/>
          <w:color w:val="000000"/>
          <w:lang w:eastAsia="fr-FR"/>
        </w:rPr>
        <w:t>) :</w:t>
      </w:r>
    </w:p>
    <w:p w:rsidR="005F726B" w:rsidRPr="006048C2" w:rsidRDefault="005F726B" w:rsidP="006048C2">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6048C2">
        <w:rPr>
          <w:rFonts w:ascii="SymbolMT" w:eastAsia="SymbolMT" w:hAnsi="CenturySchoolbook-Bold" w:cs="SymbolMT"/>
          <w:color w:val="000000"/>
          <w:lang w:eastAsia="fr-FR"/>
        </w:rPr>
        <w:t xml:space="preserve"> </w:t>
      </w:r>
      <w:r w:rsidRPr="006048C2">
        <w:rPr>
          <w:rFonts w:ascii="CenturySchoolbook" w:hAnsi="CenturySchoolbook" w:cs="CenturySchoolbook"/>
          <w:color w:val="000000"/>
          <w:lang w:eastAsia="fr-FR"/>
        </w:rPr>
        <w:t>l’élongation du grain apparait lors de la déformation plastique entrainant l’augmentation des désorientations entre grains,</w:t>
      </w:r>
    </w:p>
    <w:p w:rsidR="005F726B" w:rsidRPr="006048C2" w:rsidRDefault="005F726B" w:rsidP="006048C2">
      <w:pPr>
        <w:pStyle w:val="Paragraphedeliste"/>
        <w:numPr>
          <w:ilvl w:val="0"/>
          <w:numId w:val="2"/>
        </w:numPr>
        <w:autoSpaceDE w:val="0"/>
        <w:autoSpaceDN w:val="0"/>
        <w:adjustRightInd w:val="0"/>
        <w:spacing w:after="0" w:line="240" w:lineRule="auto"/>
        <w:rPr>
          <w:rFonts w:ascii="CenturySchoolbook" w:hAnsi="CenturySchoolbook" w:cs="CenturySchoolbook"/>
          <w:color w:val="0000FF"/>
          <w:lang w:eastAsia="fr-FR"/>
        </w:rPr>
      </w:pPr>
      <w:r w:rsidRPr="006048C2">
        <w:rPr>
          <w:rFonts w:ascii="SymbolMT" w:eastAsia="SymbolMT" w:hAnsi="CenturySchoolbook-Bold" w:cs="SymbolMT"/>
          <w:color w:val="000000"/>
          <w:lang w:eastAsia="fr-FR"/>
        </w:rPr>
        <w:t xml:space="preserve"> </w:t>
      </w:r>
      <w:r w:rsidRPr="006048C2">
        <w:rPr>
          <w:rFonts w:ascii="CenturySchoolbook" w:hAnsi="CenturySchoolbook" w:cs="CenturySchoolbook"/>
          <w:color w:val="000000"/>
          <w:lang w:eastAsia="fr-FR"/>
        </w:rPr>
        <w:t>la création de joints à forte désorientation par la subdivision de grains (</w:t>
      </w:r>
      <w:proofErr w:type="spellStart"/>
      <w:r w:rsidRPr="006048C2">
        <w:rPr>
          <w:rFonts w:ascii="CenturySchoolbook" w:hAnsi="CenturySchoolbook" w:cs="CenturySchoolbook"/>
          <w:color w:val="0000FF"/>
          <w:lang w:eastAsia="fr-FR"/>
        </w:rPr>
        <w:t>Barrett</w:t>
      </w:r>
      <w:proofErr w:type="spellEnd"/>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t xml:space="preserve">&amp; </w:t>
      </w:r>
      <w:proofErr w:type="spellStart"/>
      <w:r>
        <w:rPr>
          <w:rFonts w:ascii="CenturySchoolbook" w:hAnsi="CenturySchoolbook" w:cs="CenturySchoolbook"/>
          <w:color w:val="0000FF"/>
          <w:lang w:eastAsia="fr-FR"/>
        </w:rPr>
        <w:t>Luvenson</w:t>
      </w:r>
      <w:proofErr w:type="spellEnd"/>
      <w:r>
        <w:rPr>
          <w:rFonts w:ascii="CenturySchoolbook" w:hAnsi="CenturySchoolbook" w:cs="CenturySchoolbook"/>
          <w:color w:val="0000FF"/>
          <w:lang w:eastAsia="fr-FR"/>
        </w:rPr>
        <w:t xml:space="preserve">, 1940 - </w:t>
      </w:r>
      <w:proofErr w:type="spellStart"/>
      <w:r>
        <w:rPr>
          <w:rFonts w:ascii="CenturySchoolbook" w:hAnsi="CenturySchoolbook" w:cs="CenturySchoolbook"/>
          <w:color w:val="0000FF"/>
          <w:lang w:eastAsia="fr-FR"/>
        </w:rPr>
        <w:t>Langford</w:t>
      </w:r>
      <w:proofErr w:type="spellEnd"/>
      <w:r>
        <w:rPr>
          <w:rFonts w:ascii="CenturySchoolbook" w:hAnsi="CenturySchoolbook" w:cs="CenturySchoolbook"/>
          <w:color w:val="0000FF"/>
          <w:lang w:eastAsia="fr-FR"/>
        </w:rPr>
        <w:t xml:space="preserve"> &amp; Cohen, 1969 - </w:t>
      </w:r>
      <w:proofErr w:type="spellStart"/>
      <w:r>
        <w:rPr>
          <w:rFonts w:ascii="CenturySchoolbook" w:hAnsi="CenturySchoolbook" w:cs="CenturySchoolbook"/>
          <w:color w:val="0000FF"/>
          <w:lang w:eastAsia="fr-FR"/>
        </w:rPr>
        <w:t>Sevillano</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1980</w:t>
      </w:r>
      <w:r>
        <w:rPr>
          <w:rFonts w:ascii="CenturySchoolbook" w:hAnsi="CenturySchoolbook" w:cs="CenturySchoolbook"/>
          <w:color w:val="000000"/>
          <w:lang w:eastAsia="fr-FR"/>
        </w:rPr>
        <w:t>),</w:t>
      </w:r>
    </w:p>
    <w:p w:rsidR="005F726B" w:rsidRPr="006048C2" w:rsidRDefault="005F726B" w:rsidP="006048C2">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6048C2">
        <w:rPr>
          <w:rFonts w:ascii="SymbolMT" w:eastAsia="SymbolMT" w:hAnsi="CenturySchoolbook-Bold" w:cs="SymbolMT"/>
          <w:color w:val="000000"/>
          <w:lang w:eastAsia="fr-FR"/>
        </w:rPr>
        <w:t xml:space="preserve"> </w:t>
      </w:r>
      <w:r w:rsidRPr="006048C2">
        <w:rPr>
          <w:rFonts w:ascii="CenturySchoolbook" w:hAnsi="CenturySchoolbook" w:cs="CenturySchoolbook"/>
          <w:color w:val="000000"/>
          <w:lang w:eastAsia="fr-FR"/>
        </w:rPr>
        <w:t>la localisation de bandes de cisaillement entrainant la fragmentation de grains</w:t>
      </w:r>
    </w:p>
    <w:p w:rsidR="005F726B" w:rsidRDefault="005F726B" w:rsidP="005F726B">
      <w:pPr>
        <w:autoSpaceDE w:val="0"/>
        <w:autoSpaceDN w:val="0"/>
        <w:adjustRightInd w:val="0"/>
        <w:spacing w:after="0" w:line="240" w:lineRule="auto"/>
        <w:rPr>
          <w:rFonts w:ascii="CenturySchoolbook" w:hAnsi="CenturySchoolbook" w:cs="CenturySchoolbook"/>
          <w:color w:val="0000FF"/>
          <w:lang w:eastAsia="fr-FR"/>
        </w:rPr>
      </w:pPr>
      <w:r>
        <w:rPr>
          <w:rFonts w:ascii="CenturySchoolbook" w:hAnsi="CenturySchoolbook" w:cs="CenturySchoolbook"/>
          <w:color w:val="000000"/>
          <w:lang w:eastAsia="fr-FR"/>
        </w:rPr>
        <w:t>allongés (</w:t>
      </w:r>
      <w:r>
        <w:rPr>
          <w:rFonts w:ascii="CenturySchoolbook" w:hAnsi="CenturySchoolbook" w:cs="CenturySchoolbook"/>
          <w:color w:val="0000FF"/>
          <w:lang w:eastAsia="fr-FR"/>
        </w:rPr>
        <w:t xml:space="preserve">Ferrasse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1997 - </w:t>
      </w:r>
      <w:proofErr w:type="spellStart"/>
      <w:r>
        <w:rPr>
          <w:rFonts w:ascii="CenturySchoolbook" w:hAnsi="CenturySchoolbook" w:cs="CenturySchoolbook"/>
          <w:color w:val="0000FF"/>
          <w:lang w:eastAsia="fr-FR"/>
        </w:rPr>
        <w:t>McNelley</w:t>
      </w:r>
      <w:proofErr w:type="spellEnd"/>
      <w:r>
        <w:rPr>
          <w:rFonts w:ascii="CenturySchoolbook" w:hAnsi="CenturySchoolbook" w:cs="CenturySchoolbook"/>
          <w:color w:val="0000FF"/>
          <w:lang w:eastAsia="fr-FR"/>
        </w:rPr>
        <w:t xml:space="preserve"> &amp; </w:t>
      </w:r>
      <w:proofErr w:type="spellStart"/>
      <w:r>
        <w:rPr>
          <w:rFonts w:ascii="CenturySchoolbook" w:hAnsi="CenturySchoolbook" w:cs="CenturySchoolbook"/>
          <w:color w:val="0000FF"/>
          <w:lang w:eastAsia="fr-FR"/>
        </w:rPr>
        <w:t>Swisher</w:t>
      </w:r>
      <w:proofErr w:type="spellEnd"/>
      <w:r>
        <w:rPr>
          <w:rFonts w:ascii="CenturySchoolbook" w:hAnsi="CenturySchoolbook" w:cs="CenturySchoolbook"/>
          <w:color w:val="0000FF"/>
          <w:lang w:eastAsia="fr-FR"/>
        </w:rPr>
        <w:t xml:space="preserve">, 2004 - </w:t>
      </w:r>
      <w:proofErr w:type="spellStart"/>
      <w:r>
        <w:rPr>
          <w:rFonts w:ascii="CenturySchoolbook" w:hAnsi="CenturySchoolbook" w:cs="CenturySchoolbook"/>
          <w:color w:val="0000FF"/>
          <w:lang w:eastAsia="fr-FR"/>
        </w:rPr>
        <w:t>Miyamoto</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w:t>
      </w:r>
    </w:p>
    <w:p w:rsidR="005F726B" w:rsidRDefault="005F726B" w:rsidP="005F726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t xml:space="preserve">2004 - Wang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2004</w:t>
      </w:r>
      <w:r>
        <w:rPr>
          <w:rFonts w:ascii="CenturySchoolbook" w:hAnsi="CenturySchoolbook" w:cs="CenturySchoolbook"/>
          <w:color w:val="000000"/>
          <w:lang w:eastAsia="fr-FR"/>
        </w:rPr>
        <w:t>).</w:t>
      </w:r>
    </w:p>
    <w:p w:rsidR="006048C2" w:rsidRDefault="006048C2" w:rsidP="005F726B">
      <w:pPr>
        <w:autoSpaceDE w:val="0"/>
        <w:autoSpaceDN w:val="0"/>
        <w:adjustRightInd w:val="0"/>
        <w:spacing w:after="0" w:line="240" w:lineRule="auto"/>
        <w:rPr>
          <w:rFonts w:ascii="CenturySchoolbook" w:hAnsi="CenturySchoolbook" w:cs="CenturySchoolbook"/>
          <w:color w:val="000000"/>
          <w:lang w:eastAsia="fr-FR"/>
        </w:rPr>
      </w:pP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 subdivision d’un grain commence aux faibles/moyennes déformations, lorsque le grain se fragmente en cellules. Les dislocations commencent alors à s’accumuler dans les joints des cellules. La désorientation croit avec l’augmentation de la déformation pouvant atteindre 15-30°. Des désorientations plus élevées peuvent apparaitre par l’effet</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de la texture (</w:t>
      </w:r>
      <w:r>
        <w:rPr>
          <w:rFonts w:ascii="CenturySchoolbook" w:hAnsi="CenturySchoolbook" w:cs="CenturySchoolbook"/>
          <w:color w:val="0000FF"/>
          <w:lang w:eastAsia="fr-FR"/>
        </w:rPr>
        <w:t xml:space="preserve">Sun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2011</w:t>
      </w:r>
      <w:r>
        <w:rPr>
          <w:rFonts w:ascii="CenturySchoolbook" w:hAnsi="CenturySchoolbook" w:cs="CenturySchoolbook"/>
          <w:color w:val="000000"/>
          <w:lang w:eastAsia="fr-FR"/>
        </w:rPr>
        <w:t>). La rotation générale et uniforme du grain est suffisante pour augmenter la désorientation avec ses voisins.</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Pour des chemins de déformation constants, la géométrie des grains évolue de manière continue. Les grains initiaux s’orientent dans la direction de cisaillement et forment une microstructure lamellaire qui s’affine avec l’augmentation de la déformation</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w:t>
      </w:r>
      <w:r>
        <w:rPr>
          <w:rFonts w:ascii="CenturySchoolbook" w:hAnsi="CenturySchoolbook" w:cs="CenturySchoolbook"/>
          <w:color w:val="0000FF"/>
          <w:lang w:eastAsia="fr-FR"/>
        </w:rPr>
        <w:t>Hughes &amp; Hansen, 1997</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Par exemple, les microstructures des aciers à bas taux de carbones après ECAE ont été étudiées par </w:t>
      </w:r>
      <w:proofErr w:type="spellStart"/>
      <w:r>
        <w:rPr>
          <w:rFonts w:ascii="CenturySchoolbook" w:hAnsi="CenturySchoolbook" w:cs="CenturySchoolbook"/>
          <w:color w:val="000000"/>
          <w:lang w:eastAsia="fr-FR"/>
        </w:rPr>
        <w:t>Fukuda</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2002</w:t>
      </w:r>
      <w:r>
        <w:rPr>
          <w:rFonts w:ascii="CenturySchoolbook" w:hAnsi="CenturySchoolbook" w:cs="CenturySchoolbook"/>
          <w:color w:val="000000"/>
          <w:lang w:eastAsia="fr-FR"/>
        </w:rPr>
        <w:t xml:space="preserve">) et Shin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2000</w:t>
      </w:r>
      <w:r>
        <w:rPr>
          <w:rFonts w:ascii="CenturySchoolbook" w:hAnsi="CenturySchoolbook" w:cs="CenturySchoolbook"/>
          <w:color w:val="000000"/>
          <w:lang w:eastAsia="fr-FR"/>
        </w:rPr>
        <w:t xml:space="preserve">). Les grains ont une structure allongée pour les premières passes d’ECAE. Puis des grains </w:t>
      </w:r>
      <w:proofErr w:type="spellStart"/>
      <w:r>
        <w:rPr>
          <w:rFonts w:ascii="CenturySchoolbook" w:hAnsi="CenturySchoolbook" w:cs="CenturySchoolbook"/>
          <w:color w:val="000000"/>
          <w:lang w:eastAsia="fr-FR"/>
        </w:rPr>
        <w:t>équiaxiaux</w:t>
      </w:r>
      <w:proofErr w:type="spellEnd"/>
      <w:r>
        <w:rPr>
          <w:rFonts w:ascii="CenturySchoolbook" w:hAnsi="CenturySchoolbook" w:cs="CenturySchoolbook"/>
          <w:color w:val="000000"/>
          <w:lang w:eastAsia="fr-FR"/>
        </w:rPr>
        <w:t xml:space="preserve"> apparaissent lors de la 4</w:t>
      </w:r>
      <w:r>
        <w:rPr>
          <w:rFonts w:ascii="CenturySchoolbook" w:hAnsi="CenturySchoolbook" w:cs="CenturySchoolbook"/>
          <w:color w:val="000000"/>
          <w:sz w:val="14"/>
          <w:szCs w:val="14"/>
          <w:lang w:eastAsia="fr-FR"/>
        </w:rPr>
        <w:t xml:space="preserve">eme </w:t>
      </w:r>
      <w:r>
        <w:rPr>
          <w:rFonts w:ascii="CenturySchoolbook" w:hAnsi="CenturySchoolbook" w:cs="CenturySchoolbook"/>
          <w:color w:val="000000"/>
          <w:lang w:eastAsia="fr-FR"/>
        </w:rPr>
        <w:t xml:space="preserve">passe avec une taille moyenne de 0.2-0.3 </w:t>
      </w:r>
      <w:proofErr w:type="spellStart"/>
      <w:r>
        <w:rPr>
          <w:rFonts w:cs="Calibri"/>
          <w:color w:val="000000"/>
          <w:lang w:eastAsia="fr-FR"/>
        </w:rPr>
        <w:t>μ</w:t>
      </w:r>
      <w:r>
        <w:rPr>
          <w:rFonts w:ascii="CenturySchoolbook" w:hAnsi="CenturySchoolbook" w:cs="CenturySchoolbook"/>
          <w:color w:val="000000"/>
          <w:lang w:eastAsia="fr-FR"/>
        </w:rPr>
        <w:t>m</w:t>
      </w:r>
      <w:proofErr w:type="spellEnd"/>
      <w:r>
        <w:rPr>
          <w:rFonts w:ascii="CenturySchoolbook" w:hAnsi="CenturySchoolbook" w:cs="CenturySchoolbook"/>
          <w:color w:val="000000"/>
          <w:lang w:eastAsia="fr-FR"/>
        </w:rPr>
        <w:t>. Les désorientations augmentent avec le nombre de passes.</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L’application d’un chemin de déformation constant implique une microstructure lamellaire comme par exemple dans le laminage de tôles à froid. En revanche, un changement régulier du chemin de déformation permet de générer une microstructure contenant des grains </w:t>
      </w:r>
      <w:proofErr w:type="spellStart"/>
      <w:r>
        <w:rPr>
          <w:rFonts w:ascii="CenturySchoolbook" w:hAnsi="CenturySchoolbook" w:cs="CenturySchoolbook"/>
          <w:color w:val="000000"/>
          <w:lang w:eastAsia="fr-FR"/>
        </w:rPr>
        <w:t>équiaxiaux</w:t>
      </w:r>
      <w:proofErr w:type="spellEnd"/>
      <w:r>
        <w:rPr>
          <w:rFonts w:ascii="CenturySchoolbook" w:hAnsi="CenturySchoolbook" w:cs="CenturySchoolbook"/>
          <w:color w:val="000000"/>
          <w:lang w:eastAsia="fr-FR"/>
        </w:rPr>
        <w:t xml:space="preserve"> (figure 1.7).</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sidRPr="006048C2">
        <w:rPr>
          <w:rFonts w:ascii="CenturySchoolbook" w:hAnsi="CenturySchoolbook" w:cs="CenturySchoolbook"/>
          <w:noProof/>
          <w:color w:val="000000"/>
          <w:lang w:eastAsia="fr-FR"/>
        </w:rPr>
        <w:drawing>
          <wp:inline distT="0" distB="0" distL="0" distR="0">
            <wp:extent cx="4029075" cy="1066800"/>
            <wp:effectExtent l="0" t="0" r="952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29075" cy="1066800"/>
                    </a:xfrm>
                    <a:prstGeom prst="rect">
                      <a:avLst/>
                    </a:prstGeom>
                    <a:noFill/>
                    <a:ln>
                      <a:noFill/>
                    </a:ln>
                  </pic:spPr>
                </pic:pic>
              </a:graphicData>
            </a:graphic>
          </wp:inline>
        </w:drawing>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1.7 – Micrographies MET d’un acier IF après 8 passes ECAE dans la direction TD</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(transverse), a) route A et b) route C (</w:t>
      </w:r>
      <w:r>
        <w:rPr>
          <w:rFonts w:ascii="CenturySchoolbook" w:hAnsi="CenturySchoolbook" w:cs="CenturySchoolbook"/>
          <w:color w:val="0000FF"/>
          <w:lang w:eastAsia="fr-FR"/>
        </w:rPr>
        <w:t xml:space="preserve">de </w:t>
      </w:r>
      <w:proofErr w:type="spellStart"/>
      <w:r>
        <w:rPr>
          <w:rFonts w:ascii="CenturySchoolbook" w:hAnsi="CenturySchoolbook" w:cs="CenturySchoolbook"/>
          <w:color w:val="0000FF"/>
          <w:lang w:eastAsia="fr-FR"/>
        </w:rPr>
        <w:t>Messemaeker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2004</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Après une déformation critique, on n’observe plus d’affinement microstructural et un palier de saturation est atteint. A ce stade, la génération et les mécanismes de restauration sont en équilibre.</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L’affinement est influencé par différents paramètres tels que la température, la composition de l’alliage, la vitesse de déformation et le chemin de déformation.</w:t>
      </w:r>
    </w:p>
    <w:p w:rsidR="006048C2" w:rsidRDefault="006048C2" w:rsidP="006048C2">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p>
    <w:p w:rsidR="006048C2" w:rsidRDefault="006048C2" w:rsidP="006048C2">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r>
        <w:rPr>
          <w:rFonts w:ascii="CenturySchoolbook-Bold" w:hAnsi="CenturySchoolbook-Bold" w:cs="CenturySchoolbook-Bold"/>
          <w:b/>
          <w:bCs/>
          <w:color w:val="000000"/>
          <w:sz w:val="28"/>
          <w:szCs w:val="28"/>
          <w:lang w:eastAsia="fr-FR"/>
        </w:rPr>
        <w:t>1.2.1 Effet de la déformation imposée</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Le paramètre principal contrôlant l’affinement de la microstructure est la déformation </w:t>
      </w:r>
      <w:proofErr w:type="spellStart"/>
      <w:r>
        <w:rPr>
          <w:rFonts w:ascii="CenturySchoolbook" w:hAnsi="CenturySchoolbook" w:cs="CenturySchoolbook"/>
          <w:color w:val="000000"/>
          <w:lang w:eastAsia="fr-FR"/>
        </w:rPr>
        <w:t>nimposée</w:t>
      </w:r>
      <w:proofErr w:type="spellEnd"/>
      <w:r>
        <w:rPr>
          <w:rFonts w:ascii="CenturySchoolbook" w:hAnsi="CenturySchoolbook" w:cs="CenturySchoolbook"/>
          <w:color w:val="000000"/>
          <w:lang w:eastAsia="fr-FR"/>
        </w:rPr>
        <w:t xml:space="preserve">. Différents travaux ont été réalisés pour montrer l’affinement de la microstructure sur différents matériaux. </w:t>
      </w:r>
      <w:proofErr w:type="spellStart"/>
      <w:r>
        <w:rPr>
          <w:rFonts w:ascii="CenturySchoolbook" w:hAnsi="CenturySchoolbook" w:cs="CenturySchoolbook"/>
          <w:color w:val="000000"/>
          <w:lang w:eastAsia="fr-FR"/>
        </w:rPr>
        <w:t>Hebesberger</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2005</w:t>
      </w:r>
      <w:r>
        <w:rPr>
          <w:rFonts w:ascii="CenturySchoolbook" w:hAnsi="CenturySchoolbook" w:cs="CenturySchoolbook"/>
          <w:color w:val="000000"/>
          <w:lang w:eastAsia="fr-FR"/>
        </w:rPr>
        <w:t>) ont démontré pour du cuivre pur, la décroissance de la taille de grain en fonction de la déformation (figure 1.8a). Une taille limite d’environ 250 nm est atteinte pour les très grandes déformations.</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sidRPr="006048C2">
        <w:rPr>
          <w:rFonts w:ascii="CenturySchoolbook" w:hAnsi="CenturySchoolbook" w:cs="CenturySchoolbook"/>
          <w:noProof/>
          <w:color w:val="000000"/>
          <w:lang w:eastAsia="fr-FR"/>
        </w:rPr>
        <w:lastRenderedPageBreak/>
        <w:drawing>
          <wp:inline distT="0" distB="0" distL="0" distR="0">
            <wp:extent cx="4524375" cy="1704975"/>
            <wp:effectExtent l="0" t="0" r="9525"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4375" cy="1704975"/>
                    </a:xfrm>
                    <a:prstGeom prst="rect">
                      <a:avLst/>
                    </a:prstGeom>
                    <a:noFill/>
                    <a:ln>
                      <a:noFill/>
                    </a:ln>
                  </pic:spPr>
                </pic:pic>
              </a:graphicData>
            </a:graphic>
          </wp:inline>
        </w:drawing>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1.8 – a) Taille de grains en fonction de la déformation en cisaillement, déterminée à partir de micrographies réalisées à l’aide d’électrons rétro diffusés d’échantillons de</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cuivre pur déformés par HPT à température ambiante (</w:t>
      </w:r>
      <w:proofErr w:type="spellStart"/>
      <w:r>
        <w:rPr>
          <w:rFonts w:ascii="CenturySchoolbook" w:hAnsi="CenturySchoolbook" w:cs="CenturySchoolbook"/>
          <w:color w:val="0000FF"/>
          <w:lang w:eastAsia="fr-FR"/>
        </w:rPr>
        <w:t>Hebesberger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2005</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 xml:space="preserve">b) Taille de cellules expérimentales et modélisées </w:t>
      </w:r>
      <w:proofErr w:type="gramStart"/>
      <w:r>
        <w:rPr>
          <w:rFonts w:ascii="CenturySchoolbook" w:hAnsi="CenturySchoolbook" w:cs="CenturySchoolbook"/>
          <w:color w:val="000000"/>
          <w:lang w:eastAsia="fr-FR"/>
        </w:rPr>
        <w:t>d’ un</w:t>
      </w:r>
      <w:proofErr w:type="gramEnd"/>
      <w:r>
        <w:rPr>
          <w:rFonts w:ascii="CenturySchoolbook" w:hAnsi="CenturySchoolbook" w:cs="CenturySchoolbook"/>
          <w:color w:val="000000"/>
          <w:lang w:eastAsia="fr-FR"/>
        </w:rPr>
        <w:t xml:space="preserve"> aluminium pur après</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déformation avec ECAE en fonction de la déformation (</w:t>
      </w:r>
      <w:proofErr w:type="spellStart"/>
      <w:r>
        <w:rPr>
          <w:rFonts w:ascii="CenturySchoolbook" w:hAnsi="CenturySchoolbook" w:cs="CenturySchoolbook"/>
          <w:color w:val="0000FF"/>
          <w:lang w:eastAsia="fr-FR"/>
        </w:rPr>
        <w:t>Baik</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2003</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La déformation entraine une augmentation des désorientations à l’intérieur des grains. Cela entraine la formation de cellules. Ces dernières peuvent devenir des grains lorsque les désorientations deviennent très importantes. La taille de ces cellules atteint, elle aussi, une limite comme le montre </w:t>
      </w:r>
      <w:proofErr w:type="spellStart"/>
      <w:r>
        <w:rPr>
          <w:rFonts w:ascii="CenturySchoolbook" w:hAnsi="CenturySchoolbook" w:cs="CenturySchoolbook"/>
          <w:color w:val="000000"/>
          <w:lang w:eastAsia="fr-FR"/>
        </w:rPr>
        <w:t>Baik</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2003</w:t>
      </w:r>
      <w:r>
        <w:rPr>
          <w:rFonts w:ascii="CenturySchoolbook" w:hAnsi="CenturySchoolbook" w:cs="CenturySchoolbook"/>
          <w:color w:val="000000"/>
          <w:lang w:eastAsia="fr-FR"/>
        </w:rPr>
        <w:t>) après différentes passes d’ECAE d’un cuivre pur (figure 1.8b). D’autres matériaux ont été affinés comme par exemple du chrome pur par HPT (figure 1.9a), du titane (figure 1.9b).</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D’autres études ont été réalisées sur des matériaux différents. Par exemple, </w:t>
      </w:r>
      <w:proofErr w:type="spellStart"/>
      <w:r>
        <w:rPr>
          <w:rFonts w:ascii="CenturySchoolbook" w:hAnsi="CenturySchoolbook" w:cs="CenturySchoolbook"/>
          <w:color w:val="000000"/>
          <w:lang w:eastAsia="fr-FR"/>
        </w:rPr>
        <w:t>Zhilyaev</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proofErr w:type="gramStart"/>
      <w:r>
        <w:rPr>
          <w:rFonts w:ascii="CenturySchoolbook" w:hAnsi="CenturySchoolbook" w:cs="CenturySchoolbook"/>
          <w:color w:val="000000"/>
          <w:lang w:eastAsia="fr-FR"/>
        </w:rPr>
        <w:t>ont</w:t>
      </w:r>
      <w:proofErr w:type="gramEnd"/>
      <w:r>
        <w:rPr>
          <w:rFonts w:ascii="CenturySchoolbook" w:hAnsi="CenturySchoolbook" w:cs="CenturySchoolbook"/>
          <w:color w:val="000000"/>
          <w:lang w:eastAsia="fr-FR"/>
        </w:rPr>
        <w:t xml:space="preserve"> montré que pour un Nickel pur après HPT à une déformation d’environ 6, la</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taille de grain obtenue est de 170 nm (</w:t>
      </w:r>
      <w:proofErr w:type="spellStart"/>
      <w:r>
        <w:rPr>
          <w:rFonts w:ascii="CenturySchoolbook" w:hAnsi="CenturySchoolbook" w:cs="CenturySchoolbook"/>
          <w:color w:val="0000FF"/>
          <w:lang w:eastAsia="fr-FR"/>
        </w:rPr>
        <w:t>Zhilyaev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2001 - </w:t>
      </w:r>
      <w:proofErr w:type="spellStart"/>
      <w:r>
        <w:rPr>
          <w:rFonts w:ascii="CenturySchoolbook" w:hAnsi="CenturySchoolbook" w:cs="CenturySchoolbook"/>
          <w:color w:val="0000FF"/>
          <w:lang w:eastAsia="fr-FR"/>
        </w:rPr>
        <w:t>Zhilyaev</w:t>
      </w:r>
      <w:proofErr w:type="spellEnd"/>
      <w:r>
        <w:rPr>
          <w:rFonts w:ascii="CenturySchoolbook" w:hAnsi="CenturySchoolbook" w:cs="CenturySchoolbook"/>
          <w:color w:val="0000FF"/>
          <w:lang w:eastAsia="fr-FR"/>
        </w:rPr>
        <w:t xml:space="preserve"> &amp; Langdon, 2008</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D’autres essais ont été réalisés sur un Nickel pur par </w:t>
      </w:r>
      <w:proofErr w:type="spellStart"/>
      <w:r>
        <w:rPr>
          <w:rFonts w:ascii="CenturySchoolbook" w:hAnsi="CenturySchoolbook" w:cs="CenturySchoolbook"/>
          <w:color w:val="000000"/>
          <w:lang w:eastAsia="fr-FR"/>
        </w:rPr>
        <w:t>Bachmaier</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2010</w:t>
      </w:r>
      <w:r>
        <w:rPr>
          <w:rFonts w:ascii="CenturySchoolbook" w:hAnsi="CenturySchoolbook" w:cs="CenturySchoolbook"/>
          <w:color w:val="000000"/>
          <w:lang w:eastAsia="fr-FR"/>
        </w:rPr>
        <w:t xml:space="preserve">) et ont déterminé une taille de grain de 225 nm après une déformation de 32 à température ambiante. </w:t>
      </w:r>
      <w:proofErr w:type="spellStart"/>
      <w:r>
        <w:rPr>
          <w:rFonts w:ascii="CenturySchoolbook" w:hAnsi="CenturySchoolbook" w:cs="CenturySchoolbook"/>
          <w:color w:val="000000"/>
          <w:lang w:eastAsia="fr-FR"/>
        </w:rPr>
        <w:t>Dobatkin</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2005</w:t>
      </w:r>
      <w:r>
        <w:rPr>
          <w:rFonts w:ascii="CenturySchoolbook" w:hAnsi="CenturySchoolbook" w:cs="CenturySchoolbook"/>
          <w:color w:val="000000"/>
          <w:lang w:eastAsia="fr-FR"/>
        </w:rPr>
        <w:t xml:space="preserve">) ont réalisé des tests sur un aluminium 2024. Après déformation par HPT de 5 tours, la taille de grain moyenne était de 0.16 </w:t>
      </w:r>
      <w:proofErr w:type="spellStart"/>
      <w:r>
        <w:rPr>
          <w:rFonts w:cs="Calibri"/>
          <w:color w:val="000000"/>
          <w:lang w:eastAsia="fr-FR"/>
        </w:rPr>
        <w:t>μ</w:t>
      </w:r>
      <w:r>
        <w:rPr>
          <w:rFonts w:ascii="CenturySchoolbook" w:hAnsi="CenturySchoolbook" w:cs="CenturySchoolbook"/>
          <w:color w:val="000000"/>
          <w:lang w:eastAsia="fr-FR"/>
        </w:rPr>
        <w:t>m</w:t>
      </w:r>
      <w:proofErr w:type="spellEnd"/>
      <w:r>
        <w:rPr>
          <w:rFonts w:ascii="CenturySchoolbook" w:hAnsi="CenturySchoolbook" w:cs="CenturySchoolbook"/>
          <w:color w:val="000000"/>
          <w:lang w:eastAsia="fr-FR"/>
        </w:rPr>
        <w:t xml:space="preserve"> à température ambiante.</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sidRPr="006048C2">
        <w:rPr>
          <w:rFonts w:ascii="CenturySchoolbook" w:hAnsi="CenturySchoolbook" w:cs="CenturySchoolbook"/>
          <w:noProof/>
          <w:color w:val="000000"/>
          <w:lang w:eastAsia="fr-FR"/>
        </w:rPr>
        <w:drawing>
          <wp:inline distT="0" distB="0" distL="0" distR="0">
            <wp:extent cx="4600575" cy="2257425"/>
            <wp:effectExtent l="0" t="0" r="9525" b="952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00575" cy="2257425"/>
                    </a:xfrm>
                    <a:prstGeom prst="rect">
                      <a:avLst/>
                    </a:prstGeom>
                    <a:noFill/>
                    <a:ln>
                      <a:noFill/>
                    </a:ln>
                  </pic:spPr>
                </pic:pic>
              </a:graphicData>
            </a:graphic>
          </wp:inline>
        </w:drawing>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xml:space="preserve">. 1.9 – a) Micrographies (par électrons </w:t>
      </w:r>
      <w:proofErr w:type="spellStart"/>
      <w:r>
        <w:rPr>
          <w:rFonts w:ascii="CenturySchoolbook" w:hAnsi="CenturySchoolbook" w:cs="CenturySchoolbook"/>
          <w:color w:val="000000"/>
          <w:lang w:eastAsia="fr-FR"/>
        </w:rPr>
        <w:t>rétro-diffusés</w:t>
      </w:r>
      <w:proofErr w:type="spellEnd"/>
      <w:r>
        <w:rPr>
          <w:rFonts w:ascii="CenturySchoolbook" w:hAnsi="CenturySchoolbook" w:cs="CenturySchoolbook"/>
          <w:color w:val="000000"/>
          <w:lang w:eastAsia="fr-FR"/>
        </w:rPr>
        <w:t>) de chrome pur de</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microstructures développées par HPT (</w:t>
      </w:r>
      <m:oMath>
        <m:r>
          <w:rPr>
            <w:rFonts w:ascii="Cambria Math" w:eastAsia="SymbolMT" w:hAnsi="Cambria Math" w:cs="SymbolMT"/>
            <w:color w:val="000000"/>
            <w:sz w:val="23"/>
            <w:szCs w:val="23"/>
            <w:lang w:eastAsia="fr-FR"/>
          </w:rPr>
          <m:t>γ=</m:t>
        </m:r>
      </m:oMath>
      <w:r>
        <w:rPr>
          <w:rFonts w:ascii="SymbolMT" w:eastAsia="SymbolMT" w:hAnsi="CenturySchoolbook" w:cs="SymbolMT"/>
          <w:color w:val="000000"/>
          <w:lang w:eastAsia="fr-FR"/>
        </w:rPr>
        <w:t xml:space="preserve"> </w:t>
      </w:r>
      <w:proofErr w:type="gramStart"/>
      <w:r>
        <w:rPr>
          <w:rFonts w:ascii="CenturySchoolbook" w:hAnsi="CenturySchoolbook" w:cs="CenturySchoolbook"/>
          <w:color w:val="000000"/>
          <w:lang w:eastAsia="fr-FR"/>
        </w:rPr>
        <w:t>25.8 )</w:t>
      </w:r>
      <w:proofErr w:type="gramEnd"/>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FF"/>
          <w:lang w:eastAsia="fr-FR"/>
        </w:rPr>
        <w:t>Wadsack</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2003</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b) Microstructures et clichés de diffraction d’un titane commercialement pur grade 4 à</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température ambiante après 10 tours de révolution en HPT (</w:t>
      </w:r>
      <w:proofErr w:type="spellStart"/>
      <w:r>
        <w:rPr>
          <w:rFonts w:ascii="CenturySchoolbook" w:hAnsi="CenturySchoolbook" w:cs="CenturySchoolbook"/>
          <w:color w:val="0000FF"/>
          <w:lang w:eastAsia="fr-FR"/>
        </w:rPr>
        <w:t>Islamgaliev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2008</w:t>
      </w:r>
      <w:r>
        <w:rPr>
          <w:rFonts w:ascii="CenturySchoolbook" w:hAnsi="CenturySchoolbook" w:cs="CenturySchoolbook"/>
          <w:color w:val="000000"/>
          <w:lang w:eastAsia="fr-FR"/>
        </w:rPr>
        <w:t>).</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p>
    <w:p w:rsidR="006048C2" w:rsidRDefault="006048C2" w:rsidP="006048C2">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r>
        <w:rPr>
          <w:rFonts w:ascii="CenturySchoolbook-Bold" w:hAnsi="CenturySchoolbook-Bold" w:cs="CenturySchoolbook-Bold"/>
          <w:b/>
          <w:bCs/>
          <w:color w:val="000000"/>
          <w:sz w:val="28"/>
          <w:szCs w:val="28"/>
          <w:lang w:eastAsia="fr-FR"/>
        </w:rPr>
        <w:t>1.2.2 Effet de la température sur l’affinement</w:t>
      </w:r>
    </w:p>
    <w:p w:rsidR="006048C2" w:rsidRDefault="006048C2" w:rsidP="006048C2">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color w:val="000000"/>
          <w:lang w:eastAsia="fr-FR"/>
        </w:rPr>
        <w:t xml:space="preserve">L’effet de la température a été étudié par </w:t>
      </w:r>
      <w:proofErr w:type="spellStart"/>
      <w:r>
        <w:rPr>
          <w:rFonts w:ascii="CenturySchoolbook" w:hAnsi="CenturySchoolbook" w:cs="CenturySchoolbook"/>
          <w:color w:val="000000"/>
          <w:lang w:eastAsia="fr-FR"/>
        </w:rPr>
        <w:t>Bachmaier</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2010</w:t>
      </w:r>
      <w:r>
        <w:rPr>
          <w:rFonts w:ascii="CenturySchoolbook" w:hAnsi="CenturySchoolbook" w:cs="CenturySchoolbook"/>
          <w:color w:val="000000"/>
          <w:lang w:eastAsia="fr-FR"/>
        </w:rPr>
        <w:t xml:space="preserve">). La température à laquelle l’essai est réalisé pour un matériau donné est choisie en fonction de la température de fusion de celui-ci. En effet, c’est donc bien le rapport entre ces deux </w:t>
      </w:r>
      <w:r>
        <w:rPr>
          <w:rFonts w:ascii="CenturySchoolbook" w:hAnsi="CenturySchoolbook" w:cs="CenturySchoolbook"/>
          <w:lang w:eastAsia="fr-FR"/>
        </w:rPr>
        <w:t>températures qui implique des changements dans la microstructure. Ainsi, cela affecte la saturation du couple et le décalage de la déformation à saturation (figure 1.10).</w:t>
      </w:r>
    </w:p>
    <w:p w:rsidR="006048C2" w:rsidRDefault="006048C2" w:rsidP="006048C2">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lastRenderedPageBreak/>
        <w:t xml:space="preserve">L’amplitude des températures est importante puisqu’elles sont de -196°C à 450°C. La déformation peut être considérée comme étant suffisante pour saturer la taille de grains puisque les tests s’achèvent pour </w:t>
      </w:r>
      <m:oMath>
        <m:r>
          <w:rPr>
            <w:rFonts w:ascii="Cambria Math" w:eastAsia="SymbolMT" w:hAnsi="Cambria Math" w:cs="SymbolMT"/>
            <w:sz w:val="23"/>
            <w:szCs w:val="23"/>
            <w:lang w:eastAsia="fr-FR"/>
          </w:rPr>
          <m:t>γ=</m:t>
        </m:r>
      </m:oMath>
      <w:r>
        <w:rPr>
          <w:rFonts w:ascii="SymbolMT" w:eastAsia="SymbolMT" w:hAnsi="CenturySchoolbook" w:cs="SymbolMT"/>
          <w:sz w:val="23"/>
          <w:szCs w:val="23"/>
          <w:lang w:eastAsia="fr-FR"/>
        </w:rPr>
        <w:t xml:space="preserve"> </w:t>
      </w:r>
      <w:r>
        <w:rPr>
          <w:rFonts w:ascii="SymbolMT" w:eastAsia="SymbolMT" w:hAnsi="CenturySchoolbook" w:cs="SymbolMT"/>
          <w:lang w:eastAsia="fr-FR"/>
        </w:rPr>
        <w:t xml:space="preserve"> </w:t>
      </w:r>
      <w:r>
        <w:rPr>
          <w:rFonts w:ascii="CenturySchoolbook" w:hAnsi="CenturySchoolbook" w:cs="CenturySchoolbook"/>
          <w:lang w:eastAsia="fr-FR"/>
        </w:rPr>
        <w:t>45. On observe que la saturation se produit déjà</w:t>
      </w:r>
    </w:p>
    <w:p w:rsidR="006048C2" w:rsidRDefault="006048C2" w:rsidP="006048C2">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pour </w:t>
      </w:r>
      <m:oMath>
        <m:r>
          <w:rPr>
            <w:rFonts w:ascii="Cambria Math" w:eastAsia="SymbolMT" w:hAnsi="Cambria Math" w:cs="SymbolMT"/>
            <w:sz w:val="23"/>
            <w:szCs w:val="23"/>
            <w:lang w:eastAsia="fr-FR"/>
          </w:rPr>
          <m:t>γ=</m:t>
        </m:r>
      </m:oMath>
      <w:r>
        <w:rPr>
          <w:rFonts w:ascii="SymbolMT" w:eastAsia="SymbolMT" w:hAnsi="CenturySchoolbook" w:cs="SymbolMT"/>
          <w:sz w:val="23"/>
          <w:szCs w:val="23"/>
          <w:lang w:eastAsia="fr-FR"/>
        </w:rPr>
        <w:t xml:space="preserve"> </w:t>
      </w:r>
      <w:proofErr w:type="gramStart"/>
      <w:r>
        <w:rPr>
          <w:rFonts w:ascii="CenturySchoolbook" w:hAnsi="CenturySchoolbook" w:cs="CenturySchoolbook"/>
          <w:lang w:eastAsia="fr-FR"/>
        </w:rPr>
        <w:t>10 .</w:t>
      </w:r>
      <w:proofErr w:type="gramEnd"/>
      <w:r>
        <w:rPr>
          <w:rFonts w:ascii="CenturySchoolbook" w:hAnsi="CenturySchoolbook" w:cs="CenturySchoolbook"/>
          <w:lang w:eastAsia="fr-FR"/>
        </w:rPr>
        <w:t xml:space="preserve"> La taille des grains en est donc modifiée. Il est important de noter que ces effets sont également valables pour des déformations plus faibles et ne sont donc pas spécifiques aux procédés SPD.</w:t>
      </w:r>
    </w:p>
    <w:p w:rsidR="006048C2" w:rsidRDefault="006048C2" w:rsidP="006048C2">
      <w:pPr>
        <w:autoSpaceDE w:val="0"/>
        <w:autoSpaceDN w:val="0"/>
        <w:adjustRightInd w:val="0"/>
        <w:spacing w:after="0" w:line="240" w:lineRule="auto"/>
        <w:jc w:val="center"/>
        <w:rPr>
          <w:rFonts w:ascii="CenturySchoolbook" w:hAnsi="CenturySchoolbook" w:cs="CenturySchoolbook"/>
          <w:lang w:eastAsia="fr-FR"/>
        </w:rPr>
      </w:pPr>
      <w:r w:rsidRPr="006048C2">
        <w:rPr>
          <w:rFonts w:ascii="CenturySchoolbook" w:hAnsi="CenturySchoolbook" w:cs="CenturySchoolbook"/>
          <w:noProof/>
          <w:lang w:eastAsia="fr-FR"/>
        </w:rPr>
        <w:drawing>
          <wp:inline distT="0" distB="0" distL="0" distR="0">
            <wp:extent cx="4686300" cy="3436108"/>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7893" cy="3437276"/>
                    </a:xfrm>
                    <a:prstGeom prst="rect">
                      <a:avLst/>
                    </a:prstGeom>
                    <a:noFill/>
                    <a:ln>
                      <a:noFill/>
                    </a:ln>
                  </pic:spPr>
                </pic:pic>
              </a:graphicData>
            </a:graphic>
          </wp:inline>
        </w:drawing>
      </w:r>
    </w:p>
    <w:p w:rsidR="006048C2" w:rsidRDefault="006048C2" w:rsidP="006048C2">
      <w:pPr>
        <w:autoSpaceDE w:val="0"/>
        <w:autoSpaceDN w:val="0"/>
        <w:adjustRightInd w:val="0"/>
        <w:spacing w:after="0" w:line="240" w:lineRule="auto"/>
        <w:jc w:val="center"/>
        <w:rPr>
          <w:rFonts w:ascii="CenturySchoolbook" w:hAnsi="CenturySchoolbook" w:cs="CenturySchoolbook"/>
          <w:lang w:eastAsia="fr-FR"/>
        </w:rPr>
      </w:pPr>
    </w:p>
    <w:p w:rsidR="006048C2" w:rsidRDefault="006048C2" w:rsidP="006048C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1.10 – Mesure du couple in-situ pendant la déformation d’un alliage Al 3% massique</w:t>
      </w:r>
    </w:p>
    <w:p w:rsidR="006048C2" w:rsidRDefault="006048C2" w:rsidP="006048C2">
      <w:pPr>
        <w:autoSpaceDE w:val="0"/>
        <w:autoSpaceDN w:val="0"/>
        <w:adjustRightInd w:val="0"/>
        <w:spacing w:after="0" w:line="240" w:lineRule="auto"/>
        <w:rPr>
          <w:rFonts w:ascii="CenturySchoolbook" w:hAnsi="CenturySchoolbook" w:cs="CenturySchoolbook"/>
          <w:color w:val="000000"/>
          <w:sz w:val="14"/>
          <w:szCs w:val="14"/>
          <w:lang w:eastAsia="fr-FR"/>
        </w:rPr>
      </w:pPr>
      <w:r>
        <w:rPr>
          <w:rFonts w:ascii="CenturySchoolbook" w:hAnsi="CenturySchoolbook" w:cs="CenturySchoolbook"/>
          <w:color w:val="000000"/>
          <w:lang w:eastAsia="fr-FR"/>
        </w:rPr>
        <w:t>Mg en fonction de la déformation plastique pour une vitesse de déformation de 0.4s</w:t>
      </w:r>
      <w:r w:rsidRPr="006048C2">
        <w:rPr>
          <w:rFonts w:ascii="CenturySchoolbook" w:hAnsi="CenturySchoolbook" w:cs="CenturySchoolbook"/>
          <w:color w:val="000000"/>
          <w:sz w:val="14"/>
          <w:szCs w:val="14"/>
          <w:vertAlign w:val="superscript"/>
          <w:lang w:eastAsia="fr-FR"/>
        </w:rPr>
        <w:t>-1</w:t>
      </w:r>
    </w:p>
    <w:p w:rsidR="006048C2" w:rsidRDefault="006048C2" w:rsidP="006048C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 xml:space="preserve">(0.48 </w:t>
      </w:r>
      <w:proofErr w:type="spellStart"/>
      <w:proofErr w:type="gramStart"/>
      <w:r>
        <w:rPr>
          <w:rFonts w:ascii="CenturySchoolbook" w:hAnsi="CenturySchoolbook" w:cs="CenturySchoolbook"/>
          <w:color w:val="000000"/>
          <w:lang w:eastAsia="fr-FR"/>
        </w:rPr>
        <w:t>rpm</w:t>
      </w:r>
      <w:proofErr w:type="spellEnd"/>
      <w:proofErr w:type="gramEnd"/>
      <w:r>
        <w:rPr>
          <w:rFonts w:ascii="CenturySchoolbook" w:hAnsi="CenturySchoolbook" w:cs="CenturySchoolbook"/>
          <w:color w:val="000000"/>
          <w:lang w:eastAsia="fr-FR"/>
        </w:rPr>
        <w:t>). La température varie entre -196°C and 450°C (</w:t>
      </w:r>
      <w:proofErr w:type="spellStart"/>
      <w:r>
        <w:rPr>
          <w:rFonts w:ascii="CenturySchoolbook" w:hAnsi="CenturySchoolbook" w:cs="CenturySchoolbook"/>
          <w:color w:val="0000FF"/>
          <w:lang w:eastAsia="fr-FR"/>
        </w:rPr>
        <w:t>Bachmaier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2010</w:t>
      </w:r>
      <w:r>
        <w:rPr>
          <w:rFonts w:ascii="CenturySchoolbook" w:hAnsi="CenturySchoolbook" w:cs="CenturySchoolbook"/>
          <w:color w:val="000000"/>
          <w:lang w:eastAsia="fr-FR"/>
        </w:rPr>
        <w:t>).</w:t>
      </w:r>
    </w:p>
    <w:p w:rsidR="00C83C1B" w:rsidRDefault="00C83C1B" w:rsidP="006048C2">
      <w:pPr>
        <w:autoSpaceDE w:val="0"/>
        <w:autoSpaceDN w:val="0"/>
        <w:adjustRightInd w:val="0"/>
        <w:spacing w:after="0" w:line="240" w:lineRule="auto"/>
        <w:jc w:val="center"/>
        <w:rPr>
          <w:rFonts w:ascii="CenturySchoolbook" w:hAnsi="CenturySchoolbook" w:cs="CenturySchoolbook"/>
          <w:color w:val="000000"/>
          <w:lang w:eastAsia="fr-FR"/>
        </w:rPr>
      </w:pPr>
    </w:p>
    <w:p w:rsidR="00C83C1B" w:rsidRDefault="00C83C1B" w:rsidP="00C83C1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La figure 1.11a montre le changement de la microstructure de saturation, d’un alliage</w:t>
      </w:r>
    </w:p>
    <w:p w:rsidR="00C83C1B" w:rsidRDefault="00C83C1B" w:rsidP="00C83C1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Al/Mg, à différentes températures. La taille de grains croit avec l’augmentation de la température allant de 100 nm (-196°C) à 4 </w:t>
      </w:r>
      <w:proofErr w:type="spellStart"/>
      <w:r>
        <w:rPr>
          <w:rFonts w:cs="Calibri"/>
          <w:lang w:eastAsia="fr-FR"/>
        </w:rPr>
        <w:t>μ</w:t>
      </w:r>
      <w:r>
        <w:rPr>
          <w:rFonts w:ascii="CenturySchoolbook" w:hAnsi="CenturySchoolbook" w:cs="CenturySchoolbook"/>
          <w:lang w:eastAsia="fr-FR"/>
        </w:rPr>
        <w:t>m</w:t>
      </w:r>
      <w:proofErr w:type="spellEnd"/>
      <w:r>
        <w:rPr>
          <w:rFonts w:ascii="CenturySchoolbook" w:hAnsi="CenturySchoolbook" w:cs="CenturySchoolbook"/>
          <w:lang w:eastAsia="fr-FR"/>
        </w:rPr>
        <w:t xml:space="preserve"> (450°C). Ces observations sont confirmées par la figure 1.11b puisqu’on observe clairement que la taille de grain diminue avec la diminution de la température.</w:t>
      </w:r>
    </w:p>
    <w:p w:rsidR="00C83C1B" w:rsidRDefault="00C83C1B" w:rsidP="00C83C1B">
      <w:pPr>
        <w:autoSpaceDE w:val="0"/>
        <w:autoSpaceDN w:val="0"/>
        <w:adjustRightInd w:val="0"/>
        <w:spacing w:after="0" w:line="240" w:lineRule="auto"/>
        <w:jc w:val="center"/>
        <w:rPr>
          <w:rFonts w:ascii="CenturySchoolbook" w:hAnsi="CenturySchoolbook" w:cs="CenturySchoolbook"/>
          <w:lang w:eastAsia="fr-FR"/>
        </w:rPr>
      </w:pPr>
      <w:r w:rsidRPr="00C83C1B">
        <w:rPr>
          <w:rFonts w:ascii="CenturySchoolbook" w:hAnsi="CenturySchoolbook" w:cs="CenturySchoolbook"/>
          <w:noProof/>
          <w:lang w:eastAsia="fr-FR"/>
        </w:rPr>
        <w:drawing>
          <wp:inline distT="0" distB="0" distL="0" distR="0">
            <wp:extent cx="4410075" cy="1924050"/>
            <wp:effectExtent l="0" t="0" r="952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0075" cy="1924050"/>
                    </a:xfrm>
                    <a:prstGeom prst="rect">
                      <a:avLst/>
                    </a:prstGeom>
                    <a:noFill/>
                    <a:ln>
                      <a:noFill/>
                    </a:ln>
                  </pic:spPr>
                </pic:pic>
              </a:graphicData>
            </a:graphic>
          </wp:inline>
        </w:drawing>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1.11 – a) Microstructure dans le plan de cisaillement d’un alliage Al 3% massique</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sz w:val="14"/>
          <w:szCs w:val="14"/>
          <w:lang w:eastAsia="fr-FR"/>
        </w:rPr>
      </w:pPr>
      <w:r>
        <w:rPr>
          <w:rFonts w:ascii="CenturySchoolbook" w:hAnsi="CenturySchoolbook" w:cs="CenturySchoolbook"/>
          <w:color w:val="000000"/>
          <w:lang w:eastAsia="fr-FR"/>
        </w:rPr>
        <w:t>Mg déformé à -196°C, 200°C, 300°C and 450°C à une vitesse de déformation de 0.2 s</w:t>
      </w:r>
      <w:r>
        <w:rPr>
          <w:rFonts w:ascii="CenturySchoolbook" w:hAnsi="CenturySchoolbook" w:cs="CenturySchoolbook"/>
          <w:color w:val="000000"/>
          <w:sz w:val="14"/>
          <w:szCs w:val="14"/>
          <w:lang w:eastAsia="fr-FR"/>
        </w:rPr>
        <w:t>-1</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 xml:space="preserve">(0.25 </w:t>
      </w:r>
      <w:proofErr w:type="spellStart"/>
      <w:proofErr w:type="gramStart"/>
      <w:r>
        <w:rPr>
          <w:rFonts w:ascii="CenturySchoolbook" w:hAnsi="CenturySchoolbook" w:cs="CenturySchoolbook"/>
          <w:color w:val="000000"/>
          <w:lang w:eastAsia="fr-FR"/>
        </w:rPr>
        <w:t>rpm</w:t>
      </w:r>
      <w:proofErr w:type="spellEnd"/>
      <w:proofErr w:type="gramEnd"/>
      <w:r>
        <w:rPr>
          <w:rFonts w:ascii="CenturySchoolbook" w:hAnsi="CenturySchoolbook" w:cs="CenturySchoolbook"/>
          <w:color w:val="000000"/>
          <w:lang w:eastAsia="fr-FR"/>
        </w:rPr>
        <w:t>) (</w:t>
      </w:r>
      <w:proofErr w:type="spellStart"/>
      <w:r>
        <w:rPr>
          <w:rFonts w:ascii="CenturySchoolbook" w:hAnsi="CenturySchoolbook" w:cs="CenturySchoolbook"/>
          <w:color w:val="0000FF"/>
          <w:lang w:eastAsia="fr-FR"/>
        </w:rPr>
        <w:t>Bachmaier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2010</w:t>
      </w:r>
      <w:r>
        <w:rPr>
          <w:rFonts w:ascii="CenturySchoolbook" w:hAnsi="CenturySchoolbook" w:cs="CenturySchoolbook"/>
          <w:color w:val="000000"/>
          <w:lang w:eastAsia="fr-FR"/>
        </w:rPr>
        <w:t xml:space="preserve">). b) Micro-dureté </w:t>
      </w:r>
      <w:proofErr w:type="spellStart"/>
      <w:r>
        <w:rPr>
          <w:rFonts w:ascii="CenturySchoolbook" w:hAnsi="CenturySchoolbook" w:cs="CenturySchoolbook"/>
          <w:color w:val="000000"/>
          <w:lang w:eastAsia="fr-FR"/>
        </w:rPr>
        <w:t>Hv</w:t>
      </w:r>
      <w:proofErr w:type="spellEnd"/>
      <w:r>
        <w:rPr>
          <w:rFonts w:ascii="CenturySchoolbook" w:hAnsi="CenturySchoolbook" w:cs="CenturySchoolbook"/>
          <w:color w:val="000000"/>
          <w:lang w:eastAsia="fr-FR"/>
        </w:rPr>
        <w:t xml:space="preserve"> et taille des éléments structuraux après une déformation par HPT d’un alliage Al 3% massique Mg à différentes températures et d’un alliage Al 1% massique à température ambiante déterminés par micrographies BSE (</w:t>
      </w:r>
      <w:proofErr w:type="spellStart"/>
      <w:r>
        <w:rPr>
          <w:rFonts w:ascii="CenturySchoolbook" w:hAnsi="CenturySchoolbook" w:cs="CenturySchoolbook"/>
          <w:color w:val="0000FF"/>
          <w:lang w:eastAsia="fr-FR"/>
        </w:rPr>
        <w:t>Bachmaier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2010</w:t>
      </w:r>
      <w:r>
        <w:rPr>
          <w:rFonts w:ascii="CenturySchoolbook" w:hAnsi="CenturySchoolbook" w:cs="CenturySchoolbook"/>
          <w:color w:val="000000"/>
          <w:lang w:eastAsia="fr-FR"/>
        </w:rPr>
        <w:t>).</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
    <w:p w:rsidR="00C83C1B" w:rsidRDefault="00C83C1B" w:rsidP="00C83C1B">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lastRenderedPageBreak/>
        <w:t xml:space="preserve">Il a aussi été montré par Huang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2011</w:t>
      </w:r>
      <w:r>
        <w:rPr>
          <w:rFonts w:ascii="CenturySchoolbook" w:hAnsi="CenturySchoolbook" w:cs="CenturySchoolbook"/>
          <w:color w:val="000000"/>
          <w:lang w:eastAsia="fr-FR"/>
        </w:rPr>
        <w:t>) que la microstructure a été affinée de manière plus importantes aux températures cryogéniques (figure 1.12) pour de l’Aluminium pur (99.993%). Les températures cryogéniques permettraient de supprimer l’effet de restauration apparaissant aux températures ambiantes ou supérieures.</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sidRPr="00C83C1B">
        <w:rPr>
          <w:rFonts w:ascii="CenturySchoolbook" w:hAnsi="CenturySchoolbook" w:cs="CenturySchoolbook"/>
          <w:noProof/>
          <w:color w:val="000000"/>
          <w:lang w:eastAsia="fr-FR"/>
        </w:rPr>
        <w:drawing>
          <wp:inline distT="0" distB="0" distL="0" distR="0">
            <wp:extent cx="3589349" cy="17145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1711" cy="1715628"/>
                    </a:xfrm>
                    <a:prstGeom prst="rect">
                      <a:avLst/>
                    </a:prstGeom>
                    <a:noFill/>
                    <a:ln>
                      <a:noFill/>
                    </a:ln>
                  </pic:spPr>
                </pic:pic>
              </a:graphicData>
            </a:graphic>
          </wp:inline>
        </w:drawing>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1.12 – Variation de la taille de grains/cellules transverses en fonction du paramètre</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roofErr w:type="spellStart"/>
      <w:r>
        <w:rPr>
          <w:rFonts w:ascii="CenturySchoolbook" w:hAnsi="CenturySchoolbook" w:cs="CenturySchoolbook"/>
          <w:color w:val="000000"/>
          <w:lang w:eastAsia="fr-FR"/>
        </w:rPr>
        <w:t>Zener-Hollomon</w:t>
      </w:r>
      <w:proofErr w:type="spellEnd"/>
      <w:r>
        <w:rPr>
          <w:rFonts w:ascii="CenturySchoolbook" w:hAnsi="CenturySchoolbook" w:cs="CenturySchoolbook"/>
          <w:color w:val="000000"/>
          <w:lang w:eastAsia="fr-FR"/>
        </w:rPr>
        <w:t xml:space="preserve"> </w:t>
      </w:r>
      <m:oMath>
        <m:r>
          <w:rPr>
            <w:rFonts w:ascii="Cambria Math" w:hAnsi="Cambria Math" w:cs="CenturySchoolbook"/>
            <w:color w:val="000000"/>
            <w:sz w:val="20"/>
            <w:szCs w:val="20"/>
            <w:lang w:eastAsia="fr-FR"/>
          </w:rPr>
          <m:t>(</m:t>
        </m:r>
        <m:r>
          <w:rPr>
            <w:rFonts w:ascii="Cambria Math" w:eastAsia="SymbolMT" w:hAnsi="Cambria Math" w:cs="SymbolMT"/>
            <w:color w:val="000000"/>
            <w:sz w:val="20"/>
            <w:szCs w:val="20"/>
            <w:lang w:eastAsia="fr-FR"/>
          </w:rPr>
          <m:t>Z=</m:t>
        </m:r>
        <m:acc>
          <m:accPr>
            <m:chr m:val="̇"/>
            <m:ctrlPr>
              <w:rPr>
                <w:rFonts w:ascii="Cambria Math" w:eastAsia="SymbolMT" w:hAnsi="Cambria Math" w:cs="SymbolMT"/>
                <w:i/>
                <w:color w:val="000000"/>
                <w:sz w:val="20"/>
                <w:szCs w:val="20"/>
                <w:lang w:eastAsia="fr-FR"/>
              </w:rPr>
            </m:ctrlPr>
          </m:accPr>
          <m:e>
            <m:r>
              <w:rPr>
                <w:rFonts w:ascii="Cambria Math" w:eastAsia="SymbolMT" w:hAnsi="Cambria Math" w:cs="SymbolMT"/>
                <w:color w:val="000000"/>
                <w:sz w:val="20"/>
                <w:szCs w:val="20"/>
                <w:lang w:eastAsia="fr-FR"/>
              </w:rPr>
              <m:t>ε</m:t>
            </m:r>
          </m:e>
        </m:acc>
        <m:func>
          <m:funcPr>
            <m:ctrlPr>
              <w:rPr>
                <w:rFonts w:ascii="Cambria Math" w:eastAsia="SymbolMT" w:hAnsi="Cambria Math" w:cs="SymbolMT"/>
                <w:color w:val="000000"/>
                <w:sz w:val="20"/>
                <w:szCs w:val="20"/>
                <w:lang w:eastAsia="fr-FR"/>
              </w:rPr>
            </m:ctrlPr>
          </m:funcPr>
          <m:fName>
            <m:r>
              <m:rPr>
                <m:sty m:val="p"/>
              </m:rPr>
              <w:rPr>
                <w:rFonts w:ascii="Cambria Math" w:eastAsia="SymbolMT" w:hAnsi="Cambria Math" w:cs="SymbolMT"/>
                <w:color w:val="000000"/>
                <w:sz w:val="20"/>
                <w:szCs w:val="20"/>
                <w:lang w:eastAsia="fr-FR"/>
              </w:rPr>
              <m:t>exp</m:t>
            </m:r>
          </m:fName>
          <m:e>
            <m:d>
              <m:dPr>
                <m:ctrlPr>
                  <w:rPr>
                    <w:rFonts w:ascii="Cambria Math" w:eastAsia="SymbolMT" w:hAnsi="Cambria Math" w:cs="SymbolMT"/>
                    <w:i/>
                    <w:color w:val="000000"/>
                    <w:sz w:val="20"/>
                    <w:szCs w:val="20"/>
                    <w:lang w:eastAsia="fr-FR"/>
                  </w:rPr>
                </m:ctrlPr>
              </m:dPr>
              <m:e>
                <m:f>
                  <m:fPr>
                    <m:ctrlPr>
                      <w:rPr>
                        <w:rFonts w:ascii="Cambria Math" w:eastAsia="SymbolMT" w:hAnsi="Cambria Math" w:cs="SymbolMT"/>
                        <w:i/>
                        <w:color w:val="000000"/>
                        <w:sz w:val="20"/>
                        <w:szCs w:val="20"/>
                        <w:lang w:eastAsia="fr-FR"/>
                      </w:rPr>
                    </m:ctrlPr>
                  </m:fPr>
                  <m:num>
                    <m:r>
                      <w:rPr>
                        <w:rFonts w:ascii="Cambria Math" w:eastAsia="SymbolMT" w:hAnsi="Cambria Math" w:cs="SymbolMT"/>
                        <w:color w:val="000000"/>
                        <w:sz w:val="20"/>
                        <w:szCs w:val="20"/>
                        <w:lang w:eastAsia="fr-FR"/>
                      </w:rPr>
                      <m:t>Q</m:t>
                    </m:r>
                  </m:num>
                  <m:den>
                    <m:r>
                      <w:rPr>
                        <w:rFonts w:ascii="Cambria Math" w:eastAsia="SymbolMT" w:hAnsi="Cambria Math" w:cs="SymbolMT"/>
                        <w:color w:val="000000"/>
                        <w:sz w:val="20"/>
                        <w:szCs w:val="20"/>
                        <w:lang w:eastAsia="fr-FR"/>
                      </w:rPr>
                      <m:t>RT</m:t>
                    </m:r>
                  </m:den>
                </m:f>
              </m:e>
            </m:d>
          </m:e>
        </m:func>
        <m:r>
          <w:rPr>
            <w:rFonts w:ascii="Cambria Math" w:eastAsia="SymbolMT" w:hAnsi="Cambria Math" w:cs="SymbolMT"/>
            <w:color w:val="000000"/>
            <w:sz w:val="20"/>
            <w:szCs w:val="20"/>
            <w:lang w:eastAsia="fr-FR"/>
          </w:rPr>
          <m:t>)</m:t>
        </m:r>
      </m:oMath>
      <w:r>
        <w:rPr>
          <w:rFonts w:ascii="SymbolMT" w:eastAsia="SymbolMT" w:hAnsi="CenturySchoolbook" w:cs="SymbolMT"/>
          <w:color w:val="000000"/>
          <w:sz w:val="35"/>
          <w:szCs w:val="35"/>
          <w:lang w:eastAsia="fr-FR"/>
        </w:rPr>
        <w:t xml:space="preserve"> </w:t>
      </w:r>
      <w:r>
        <w:rPr>
          <w:rFonts w:ascii="CenturySchoolbook" w:hAnsi="CenturySchoolbook" w:cs="CenturySchoolbook"/>
          <w:color w:val="000000"/>
          <w:lang w:eastAsia="fr-FR"/>
        </w:rPr>
        <w:t>pour un Aluminium pur (</w:t>
      </w:r>
      <w:r>
        <w:rPr>
          <w:rFonts w:ascii="CenturySchoolbook" w:hAnsi="CenturySchoolbook" w:cs="CenturySchoolbook"/>
          <w:color w:val="0000FF"/>
          <w:lang w:eastAsia="fr-FR"/>
        </w:rPr>
        <w:t xml:space="preserve">Huang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2011</w:t>
      </w:r>
      <w:r>
        <w:rPr>
          <w:rFonts w:ascii="CenturySchoolbook" w:hAnsi="CenturySchoolbook" w:cs="CenturySchoolbook"/>
          <w:color w:val="000000"/>
          <w:lang w:eastAsia="fr-FR"/>
        </w:rPr>
        <w:t>)</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
    <w:p w:rsidR="00C83C1B" w:rsidRDefault="00C83C1B" w:rsidP="00C83C1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La taille de grains limite est affectée par la température. Sur la figure 1.13, on peut voir que cette taille limite (a </w:t>
      </w:r>
      <m:oMath>
        <m:r>
          <w:rPr>
            <w:rFonts w:ascii="Cambria Math" w:eastAsia="SymbolMT" w:hAnsi="Cambria Math" w:cs="SymbolMT"/>
            <w:lang w:eastAsia="fr-FR"/>
          </w:rPr>
          <m:t>ε</m:t>
        </m:r>
      </m:oMath>
      <w:r>
        <w:rPr>
          <w:rFonts w:ascii="CenturySchoolbook" w:hAnsi="CenturySchoolbook" w:cs="CenturySchoolbook"/>
          <w:lang w:eastAsia="fr-FR"/>
        </w:rPr>
        <w:t>=32) n’est pas équivalente pour deux températures différentes. Comme précédemment, la microstructure est plus affinée pour une faible température. En effet, à 20°C, la taille de grains pour des déformations de 8 et 32 descend clairement en dessous de 100 nm. Une saturation semble atteinte à partir d’une déformation de 8 puisque les changements de taille sont très faibles. En revanche, la taille de grains critique n’est pas la seule à être affectée. On peut remarquer qu’à des déformations moins élevées (2 et 8), là où la taille critique de grains n’est pas atteinte, la microstructure est elle aussi différente et affectée par la température.</w:t>
      </w:r>
    </w:p>
    <w:p w:rsidR="00C83C1B" w:rsidRPr="00C83C1B" w:rsidRDefault="00C83C1B" w:rsidP="00C83C1B">
      <w:pPr>
        <w:autoSpaceDE w:val="0"/>
        <w:autoSpaceDN w:val="0"/>
        <w:adjustRightInd w:val="0"/>
        <w:spacing w:after="0" w:line="240" w:lineRule="auto"/>
        <w:rPr>
          <w:rFonts w:ascii="CenturySchoolbook" w:hAnsi="CenturySchoolbook" w:cs="CenturySchoolbook"/>
          <w:lang w:eastAsia="fr-FR"/>
        </w:rPr>
      </w:pP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sidRPr="00C83C1B">
        <w:rPr>
          <w:rFonts w:ascii="CenturySchoolbook" w:hAnsi="CenturySchoolbook" w:cs="CenturySchoolbook"/>
          <w:noProof/>
          <w:color w:val="000000"/>
          <w:lang w:eastAsia="fr-FR"/>
        </w:rPr>
        <w:drawing>
          <wp:inline distT="0" distB="0" distL="0" distR="0">
            <wp:extent cx="4333875" cy="2869255"/>
            <wp:effectExtent l="0" t="0" r="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4919" cy="2869946"/>
                    </a:xfrm>
                    <a:prstGeom prst="rect">
                      <a:avLst/>
                    </a:prstGeom>
                    <a:noFill/>
                    <a:ln>
                      <a:noFill/>
                    </a:ln>
                  </pic:spPr>
                </pic:pic>
              </a:graphicData>
            </a:graphic>
          </wp:inline>
        </w:drawing>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xml:space="preserve">. 1.13 – Comparaison des micrographies BSE d’un acier </w:t>
      </w:r>
      <w:proofErr w:type="spellStart"/>
      <w:r>
        <w:rPr>
          <w:rFonts w:ascii="CenturySchoolbook" w:hAnsi="CenturySchoolbook" w:cs="CenturySchoolbook"/>
          <w:color w:val="000000"/>
          <w:lang w:eastAsia="fr-FR"/>
        </w:rPr>
        <w:t>ferritique</w:t>
      </w:r>
      <w:proofErr w:type="spellEnd"/>
      <w:r>
        <w:rPr>
          <w:rFonts w:ascii="CenturySchoolbook" w:hAnsi="CenturySchoolbook" w:cs="CenturySchoolbook"/>
          <w:color w:val="000000"/>
          <w:lang w:eastAsia="fr-FR"/>
        </w:rPr>
        <w:t xml:space="preserve"> après SPD jusqu’à une déformation de 2, 8 et 32 réalisés à 20 et 450°C. Le grossissement est le même pour</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toutes les micrographies (</w:t>
      </w:r>
      <w:proofErr w:type="spellStart"/>
      <w:r>
        <w:rPr>
          <w:rFonts w:ascii="CenturySchoolbook" w:hAnsi="CenturySchoolbook" w:cs="CenturySchoolbook"/>
          <w:color w:val="0000FF"/>
          <w:lang w:eastAsia="fr-FR"/>
        </w:rPr>
        <w:t>Vorhauer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2005</w:t>
      </w:r>
      <w:r>
        <w:rPr>
          <w:rFonts w:ascii="CenturySchoolbook" w:hAnsi="CenturySchoolbook" w:cs="CenturySchoolbook"/>
          <w:color w:val="000000"/>
          <w:lang w:eastAsia="fr-FR"/>
        </w:rPr>
        <w:t>).</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
    <w:p w:rsidR="00C83C1B" w:rsidRDefault="00C83C1B" w:rsidP="00C83C1B">
      <w:pPr>
        <w:autoSpaceDE w:val="0"/>
        <w:autoSpaceDN w:val="0"/>
        <w:adjustRightInd w:val="0"/>
        <w:spacing w:after="0" w:line="240" w:lineRule="auto"/>
        <w:rPr>
          <w:rFonts w:ascii="CenturySchoolbook-Bold" w:hAnsi="CenturySchoolbook-Bold" w:cs="CenturySchoolbook-Bold"/>
          <w:b/>
          <w:bCs/>
          <w:sz w:val="28"/>
          <w:szCs w:val="28"/>
          <w:lang w:eastAsia="fr-FR"/>
        </w:rPr>
      </w:pPr>
    </w:p>
    <w:p w:rsidR="00C83C1B" w:rsidRDefault="00C83C1B" w:rsidP="00C83C1B">
      <w:pPr>
        <w:autoSpaceDE w:val="0"/>
        <w:autoSpaceDN w:val="0"/>
        <w:adjustRightInd w:val="0"/>
        <w:spacing w:after="0" w:line="240" w:lineRule="auto"/>
        <w:rPr>
          <w:rFonts w:ascii="CenturySchoolbook-Bold" w:hAnsi="CenturySchoolbook-Bold" w:cs="CenturySchoolbook-Bold"/>
          <w:b/>
          <w:bCs/>
          <w:sz w:val="28"/>
          <w:szCs w:val="28"/>
          <w:lang w:eastAsia="fr-FR"/>
        </w:rPr>
      </w:pPr>
    </w:p>
    <w:p w:rsidR="00C83C1B" w:rsidRDefault="00C83C1B" w:rsidP="00C83C1B">
      <w:pPr>
        <w:autoSpaceDE w:val="0"/>
        <w:autoSpaceDN w:val="0"/>
        <w:adjustRightInd w:val="0"/>
        <w:spacing w:after="0" w:line="240" w:lineRule="auto"/>
        <w:rPr>
          <w:rFonts w:ascii="CenturySchoolbook-Bold" w:hAnsi="CenturySchoolbook-Bold" w:cs="CenturySchoolbook-Bold"/>
          <w:b/>
          <w:bCs/>
          <w:sz w:val="28"/>
          <w:szCs w:val="28"/>
          <w:lang w:eastAsia="fr-FR"/>
        </w:rPr>
      </w:pPr>
    </w:p>
    <w:p w:rsidR="00C83C1B" w:rsidRDefault="00C83C1B" w:rsidP="00C83C1B">
      <w:pPr>
        <w:autoSpaceDE w:val="0"/>
        <w:autoSpaceDN w:val="0"/>
        <w:adjustRightInd w:val="0"/>
        <w:spacing w:after="0" w:line="240" w:lineRule="auto"/>
        <w:rPr>
          <w:rFonts w:ascii="CenturySchoolbook-Bold" w:hAnsi="CenturySchoolbook-Bold" w:cs="CenturySchoolbook-Bold"/>
          <w:b/>
          <w:bCs/>
          <w:sz w:val="28"/>
          <w:szCs w:val="28"/>
          <w:lang w:eastAsia="fr-FR"/>
        </w:rPr>
      </w:pPr>
    </w:p>
    <w:p w:rsidR="00C83C1B" w:rsidRDefault="00C83C1B" w:rsidP="00C83C1B">
      <w:pPr>
        <w:autoSpaceDE w:val="0"/>
        <w:autoSpaceDN w:val="0"/>
        <w:adjustRightInd w:val="0"/>
        <w:spacing w:after="0" w:line="240" w:lineRule="auto"/>
        <w:rPr>
          <w:rFonts w:ascii="CenturySchoolbook-Bold" w:hAnsi="CenturySchoolbook-Bold" w:cs="CenturySchoolbook-Bold"/>
          <w:b/>
          <w:bCs/>
          <w:sz w:val="28"/>
          <w:szCs w:val="28"/>
          <w:lang w:eastAsia="fr-FR"/>
        </w:rPr>
      </w:pPr>
      <w:r>
        <w:rPr>
          <w:rFonts w:ascii="CenturySchoolbook-Bold" w:hAnsi="CenturySchoolbook-Bold" w:cs="CenturySchoolbook-Bold"/>
          <w:b/>
          <w:bCs/>
          <w:sz w:val="28"/>
          <w:szCs w:val="28"/>
          <w:lang w:eastAsia="fr-FR"/>
        </w:rPr>
        <w:lastRenderedPageBreak/>
        <w:t>1.2.3 Effet de la vitesse de déformation sur l’affinement</w:t>
      </w:r>
    </w:p>
    <w:p w:rsidR="00C83C1B" w:rsidRDefault="00C83C1B" w:rsidP="00C83C1B">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La vitesse de déformation des microstructures a aussi été étudiée pour vérifier la dépendance sur la taille de grains limite. Comme énoncé précédemment pour la température, les effets observés sont également valides pour des déformations plus faibles. Sur la figure 1.14, on voit clairement que la taille caractéristique de la microstructure de saturation diminue avec l’augmentation de la vitesse de déformation du matériau. Cet effet est tout de même moins prononcé que celui de la température vu dans le paragraphe précédent. Cet effet est visible pour des températures élevées. En effet, pour des déformations à température ambiante ou basses températures, cet effet est moins observable.</w:t>
      </w:r>
    </w:p>
    <w:p w:rsidR="00C83C1B" w:rsidRDefault="00C83C1B" w:rsidP="00C83C1B">
      <w:pPr>
        <w:autoSpaceDE w:val="0"/>
        <w:autoSpaceDN w:val="0"/>
        <w:adjustRightInd w:val="0"/>
        <w:spacing w:after="0" w:line="240" w:lineRule="auto"/>
        <w:jc w:val="center"/>
        <w:rPr>
          <w:rFonts w:ascii="CenturySchoolbook" w:hAnsi="CenturySchoolbook" w:cs="CenturySchoolbook"/>
          <w:lang w:eastAsia="fr-FR"/>
        </w:rPr>
      </w:pPr>
      <w:r w:rsidRPr="00C83C1B">
        <w:rPr>
          <w:rFonts w:ascii="CenturySchoolbook" w:hAnsi="CenturySchoolbook" w:cs="CenturySchoolbook"/>
          <w:noProof/>
          <w:lang w:eastAsia="fr-FR"/>
        </w:rPr>
        <w:drawing>
          <wp:inline distT="0" distB="0" distL="0" distR="0">
            <wp:extent cx="3305175" cy="1276350"/>
            <wp:effectExtent l="0" t="0" r="952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05175" cy="1276350"/>
                    </a:xfrm>
                    <a:prstGeom prst="rect">
                      <a:avLst/>
                    </a:prstGeom>
                    <a:noFill/>
                    <a:ln>
                      <a:noFill/>
                    </a:ln>
                  </pic:spPr>
                </pic:pic>
              </a:graphicData>
            </a:graphic>
          </wp:inline>
        </w:drawing>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1.14 – Micrographies BSE montrant la microstructure d’un alliage Al 3% massique</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Mg déformé à 200°C à deux vitesses de rotation (</w:t>
      </w:r>
      <w:proofErr w:type="spellStart"/>
      <w:r>
        <w:rPr>
          <w:rFonts w:ascii="CenturySchoolbook" w:hAnsi="CenturySchoolbook" w:cs="CenturySchoolbook"/>
          <w:color w:val="0000FF"/>
          <w:lang w:eastAsia="fr-FR"/>
        </w:rPr>
        <w:t>Bachmaier</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2010</w:t>
      </w:r>
      <w:r>
        <w:rPr>
          <w:rFonts w:ascii="CenturySchoolbook" w:hAnsi="CenturySchoolbook" w:cs="CenturySchoolbook"/>
          <w:color w:val="000000"/>
          <w:lang w:eastAsia="fr-FR"/>
        </w:rPr>
        <w:t>).</w:t>
      </w:r>
    </w:p>
    <w:p w:rsidR="00C83C1B" w:rsidRDefault="00C83C1B" w:rsidP="00C83C1B">
      <w:pPr>
        <w:autoSpaceDE w:val="0"/>
        <w:autoSpaceDN w:val="0"/>
        <w:adjustRightInd w:val="0"/>
        <w:spacing w:after="0" w:line="240" w:lineRule="auto"/>
        <w:jc w:val="center"/>
        <w:rPr>
          <w:rFonts w:ascii="CenturySchoolbook" w:hAnsi="CenturySchoolbook" w:cs="CenturySchoolbook"/>
          <w:color w:val="000000"/>
          <w:lang w:eastAsia="fr-FR"/>
        </w:rPr>
      </w:pPr>
    </w:p>
    <w:p w:rsidR="002A56FA" w:rsidRDefault="002A56FA" w:rsidP="002A56FA">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La figure 1.15 nous permet aussi d’observer ce phénomène sur un alliage Mg AZ31 car la taille de grains diminue avec l’augmentation de la vitesse de déformation. Pour des</w:t>
      </w:r>
    </w:p>
    <w:p w:rsidR="002A56FA" w:rsidRDefault="002A56FA" w:rsidP="002A56FA">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vitesses allant de 0.08 à 0.3 s</w:t>
      </w:r>
      <w:r>
        <w:rPr>
          <w:rFonts w:ascii="CenturySchoolbook" w:hAnsi="CenturySchoolbook" w:cs="CenturySchoolbook"/>
          <w:sz w:val="14"/>
          <w:szCs w:val="14"/>
          <w:lang w:eastAsia="fr-FR"/>
        </w:rPr>
        <w:t xml:space="preserve">-1 </w:t>
      </w:r>
      <w:r>
        <w:rPr>
          <w:rFonts w:ascii="CenturySchoolbook" w:hAnsi="CenturySchoolbook" w:cs="CenturySchoolbook"/>
          <w:lang w:eastAsia="fr-FR"/>
        </w:rPr>
        <w:t>(rapport de 3.75), la taille de grains diminue de 450 nm à</w:t>
      </w:r>
    </w:p>
    <w:p w:rsidR="00C83C1B" w:rsidRDefault="002A56FA" w:rsidP="002A56FA">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350 nm (soit un rapport de 0.8). L’effet produit par l’augmentation de la vitesse de déformation peut être comparée à une diminution de la température. Même si l’effet est moins important, l’évolution est similaire. En effet, la diminution de la température permet d’augmenter la contrainte effective.</w:t>
      </w:r>
    </w:p>
    <w:p w:rsidR="002A56FA" w:rsidRDefault="002A56FA" w:rsidP="002A56FA">
      <w:pPr>
        <w:autoSpaceDE w:val="0"/>
        <w:autoSpaceDN w:val="0"/>
        <w:adjustRightInd w:val="0"/>
        <w:spacing w:after="0" w:line="240" w:lineRule="auto"/>
        <w:rPr>
          <w:rFonts w:ascii="CenturySchoolbook" w:hAnsi="CenturySchoolbook" w:cs="CenturySchoolbook"/>
          <w:lang w:eastAsia="fr-FR"/>
        </w:rPr>
      </w:pPr>
    </w:p>
    <w:p w:rsidR="002A56FA" w:rsidRDefault="002A56FA" w:rsidP="002A56FA">
      <w:pPr>
        <w:autoSpaceDE w:val="0"/>
        <w:autoSpaceDN w:val="0"/>
        <w:adjustRightInd w:val="0"/>
        <w:spacing w:after="0" w:line="240" w:lineRule="auto"/>
        <w:jc w:val="center"/>
        <w:rPr>
          <w:rFonts w:ascii="CenturySchoolbook" w:hAnsi="CenturySchoolbook" w:cs="CenturySchoolbook"/>
          <w:lang w:eastAsia="fr-FR"/>
        </w:rPr>
      </w:pPr>
      <w:r w:rsidRPr="002A56FA">
        <w:rPr>
          <w:rFonts w:ascii="CenturySchoolbook" w:hAnsi="CenturySchoolbook" w:cs="CenturySchoolbook"/>
          <w:noProof/>
          <w:lang w:eastAsia="fr-FR"/>
        </w:rPr>
        <w:drawing>
          <wp:inline distT="0" distB="0" distL="0" distR="0">
            <wp:extent cx="3390900" cy="2569710"/>
            <wp:effectExtent l="0" t="0" r="0" b="254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98059" cy="2575135"/>
                    </a:xfrm>
                    <a:prstGeom prst="rect">
                      <a:avLst/>
                    </a:prstGeom>
                    <a:noFill/>
                    <a:ln>
                      <a:noFill/>
                    </a:ln>
                  </pic:spPr>
                </pic:pic>
              </a:graphicData>
            </a:graphic>
          </wp:inline>
        </w:drawing>
      </w:r>
    </w:p>
    <w:p w:rsidR="002A56FA" w:rsidRDefault="002A56FA" w:rsidP="002A56FA">
      <w:pPr>
        <w:autoSpaceDE w:val="0"/>
        <w:autoSpaceDN w:val="0"/>
        <w:adjustRightInd w:val="0"/>
        <w:spacing w:after="0" w:line="240" w:lineRule="auto"/>
        <w:jc w:val="center"/>
        <w:rPr>
          <w:rFonts w:ascii="CenturySchoolbook" w:hAnsi="CenturySchoolbook" w:cs="CenturySchoolbook"/>
          <w:lang w:eastAsia="fr-FR"/>
        </w:rPr>
      </w:pP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1.15 – Tailles de grains moyennes en fonction de la vitesse de déformation locale à différentes distances du centre du disque déformé par HPT à différentes vitesses de</w:t>
      </w: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rotation (</w:t>
      </w:r>
      <w:r>
        <w:rPr>
          <w:rFonts w:ascii="CenturySchoolbook" w:hAnsi="CenturySchoolbook" w:cs="CenturySchoolbook"/>
          <w:color w:val="0000FF"/>
          <w:lang w:eastAsia="fr-FR"/>
        </w:rPr>
        <w:t xml:space="preserve">Serre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2011</w:t>
      </w:r>
      <w:r>
        <w:rPr>
          <w:rFonts w:ascii="CenturySchoolbook" w:hAnsi="CenturySchoolbook" w:cs="CenturySchoolbook"/>
          <w:color w:val="000000"/>
          <w:lang w:eastAsia="fr-FR"/>
        </w:rPr>
        <w:t>).</w:t>
      </w: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p>
    <w:p w:rsidR="002A56FA" w:rsidRDefault="002A56FA" w:rsidP="002A56FA">
      <w:pPr>
        <w:autoSpaceDE w:val="0"/>
        <w:autoSpaceDN w:val="0"/>
        <w:adjustRightInd w:val="0"/>
        <w:spacing w:after="0" w:line="240" w:lineRule="auto"/>
        <w:rPr>
          <w:rFonts w:ascii="CenturySchoolbook-Bold" w:hAnsi="CenturySchoolbook-Bold" w:cs="CenturySchoolbook-Bold"/>
          <w:b/>
          <w:bCs/>
          <w:sz w:val="32"/>
          <w:szCs w:val="32"/>
          <w:lang w:eastAsia="fr-FR"/>
        </w:rPr>
      </w:pPr>
      <w:r>
        <w:rPr>
          <w:rFonts w:ascii="CenturySchoolbook-Bold" w:hAnsi="CenturySchoolbook-Bold" w:cs="CenturySchoolbook-Bold"/>
          <w:b/>
          <w:bCs/>
          <w:sz w:val="32"/>
          <w:szCs w:val="32"/>
          <w:lang w:eastAsia="fr-FR"/>
        </w:rPr>
        <w:lastRenderedPageBreak/>
        <w:t>1.3 Propriétés des matériaux à grains ultrafins</w:t>
      </w:r>
    </w:p>
    <w:p w:rsidR="002A56FA" w:rsidRDefault="002A56FA" w:rsidP="002A56FA">
      <w:pPr>
        <w:autoSpaceDE w:val="0"/>
        <w:autoSpaceDN w:val="0"/>
        <w:adjustRightInd w:val="0"/>
        <w:spacing w:after="0" w:line="240" w:lineRule="auto"/>
        <w:rPr>
          <w:rFonts w:ascii="CenturySchoolbook-Bold" w:hAnsi="CenturySchoolbook-Bold" w:cs="CenturySchoolbook-Bold"/>
          <w:b/>
          <w:bCs/>
          <w:sz w:val="28"/>
          <w:szCs w:val="28"/>
          <w:lang w:eastAsia="fr-FR"/>
        </w:rPr>
      </w:pPr>
      <w:r>
        <w:rPr>
          <w:rFonts w:ascii="CenturySchoolbook-Bold" w:hAnsi="CenturySchoolbook-Bold" w:cs="CenturySchoolbook-Bold"/>
          <w:b/>
          <w:bCs/>
          <w:sz w:val="28"/>
          <w:szCs w:val="28"/>
          <w:lang w:eastAsia="fr-FR"/>
        </w:rPr>
        <w:t>1.3.1 Propriétés mécaniques</w:t>
      </w:r>
    </w:p>
    <w:p w:rsidR="002A56FA" w:rsidRDefault="002A56FA" w:rsidP="002A56FA">
      <w:pPr>
        <w:autoSpaceDE w:val="0"/>
        <w:autoSpaceDN w:val="0"/>
        <w:adjustRightInd w:val="0"/>
        <w:spacing w:after="0" w:line="240" w:lineRule="auto"/>
        <w:rPr>
          <w:rFonts w:ascii="CenturySchoolbook-Bold" w:hAnsi="CenturySchoolbook-Bold" w:cs="CenturySchoolbook-Bold"/>
          <w:b/>
          <w:bCs/>
          <w:lang w:eastAsia="fr-FR"/>
        </w:rPr>
      </w:pPr>
      <w:r>
        <w:rPr>
          <w:rFonts w:ascii="CenturySchoolbook-Bold" w:hAnsi="CenturySchoolbook-Bold" w:cs="CenturySchoolbook-Bold"/>
          <w:b/>
          <w:bCs/>
          <w:lang w:eastAsia="fr-FR"/>
        </w:rPr>
        <w:t>1.3.1.1 Limite élastique et ductilité</w:t>
      </w:r>
    </w:p>
    <w:p w:rsidR="002A56FA" w:rsidRDefault="002A56FA" w:rsidP="002A56FA">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La taille de grains des matériaux </w:t>
      </w:r>
      <w:proofErr w:type="spellStart"/>
      <w:r>
        <w:rPr>
          <w:rFonts w:ascii="CenturySchoolbook" w:hAnsi="CenturySchoolbook" w:cs="CenturySchoolbook"/>
          <w:lang w:eastAsia="fr-FR"/>
        </w:rPr>
        <w:t>polycristallins</w:t>
      </w:r>
      <w:proofErr w:type="spellEnd"/>
      <w:r>
        <w:rPr>
          <w:rFonts w:ascii="CenturySchoolbook" w:hAnsi="CenturySchoolbook" w:cs="CenturySchoolbook"/>
          <w:lang w:eastAsia="fr-FR"/>
        </w:rPr>
        <w:t xml:space="preserve"> joue un rôle dominant dans les propriétés mécaniques et physiques, principalement sur la limite élastique et la ductilité. Ces deux propriétés sont celles étant principalement affectées par l’affinement de microstructure. Elles sont très différentes de celles des matériaux à gros grains. La limite élastique est directement liée à la taille de grain </w:t>
      </w:r>
      <w:r>
        <w:rPr>
          <w:rFonts w:ascii="Cambria" w:hAnsi="Cambria" w:cs="Cambria"/>
          <w:lang w:eastAsia="fr-FR"/>
        </w:rPr>
        <w:t>􀝀</w:t>
      </w:r>
      <w:r>
        <w:rPr>
          <w:rFonts w:ascii="CenturySchoolbook" w:hAnsi="CenturySchoolbook" w:cs="CenturySchoolbook"/>
          <w:lang w:eastAsia="fr-FR"/>
        </w:rPr>
        <w:t>, comme le montre la relation</w:t>
      </w:r>
    </w:p>
    <w:p w:rsidR="002A56FA" w:rsidRDefault="002A56FA" w:rsidP="002A56FA">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Hall-</w:t>
      </w:r>
      <w:proofErr w:type="spellStart"/>
      <w:r>
        <w:rPr>
          <w:rFonts w:ascii="CenturySchoolbook" w:hAnsi="CenturySchoolbook" w:cs="CenturySchoolbook"/>
          <w:lang w:eastAsia="fr-FR"/>
        </w:rPr>
        <w:t>Petch</w:t>
      </w:r>
      <w:proofErr w:type="spellEnd"/>
      <w:r>
        <w:rPr>
          <w:rFonts w:ascii="CenturySchoolbook" w:hAnsi="CenturySchoolbook" w:cs="CenturySchoolbook"/>
          <w:lang w:eastAsia="fr-FR"/>
        </w:rPr>
        <w:t xml:space="preserve"> donnée par :</w:t>
      </w:r>
    </w:p>
    <w:p w:rsidR="002A56FA" w:rsidRDefault="002A56FA" w:rsidP="002A56FA">
      <w:pPr>
        <w:autoSpaceDE w:val="0"/>
        <w:autoSpaceDN w:val="0"/>
        <w:adjustRightInd w:val="0"/>
        <w:spacing w:after="0" w:line="240" w:lineRule="auto"/>
        <w:jc w:val="center"/>
        <w:rPr>
          <w:rFonts w:ascii="CenturySchoolbook" w:hAnsi="CenturySchoolbook" w:cs="CenturySchoolbook"/>
          <w:lang w:eastAsia="fr-FR"/>
        </w:rPr>
      </w:pPr>
      <w:r w:rsidRPr="002A56FA">
        <w:rPr>
          <w:rFonts w:ascii="CenturySchoolbook" w:hAnsi="CenturySchoolbook" w:cs="CenturySchoolbook"/>
          <w:noProof/>
          <w:lang w:eastAsia="fr-FR"/>
        </w:rPr>
        <w:drawing>
          <wp:inline distT="0" distB="0" distL="0" distR="0">
            <wp:extent cx="4004848" cy="600075"/>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11643" cy="601093"/>
                    </a:xfrm>
                    <a:prstGeom prst="rect">
                      <a:avLst/>
                    </a:prstGeom>
                    <a:noFill/>
                    <a:ln>
                      <a:noFill/>
                    </a:ln>
                  </pic:spPr>
                </pic:pic>
              </a:graphicData>
            </a:graphic>
          </wp:inline>
        </w:drawing>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proofErr w:type="gramStart"/>
      <w:r>
        <w:rPr>
          <w:rFonts w:ascii="CenturySchoolbook" w:hAnsi="CenturySchoolbook" w:cs="CenturySchoolbook"/>
          <w:color w:val="000000"/>
          <w:lang w:eastAsia="fr-FR"/>
        </w:rPr>
        <w:t>où</w:t>
      </w:r>
      <w:proofErr w:type="gramEnd"/>
      <w:r>
        <w:rPr>
          <w:rFonts w:ascii="CenturySchoolbook" w:hAnsi="CenturySchoolbook" w:cs="CenturySchoolbook"/>
          <w:color w:val="000000"/>
          <w:lang w:eastAsia="fr-FR"/>
        </w:rPr>
        <w:t xml:space="preserve"> </w:t>
      </w:r>
      <m:oMath>
        <m:sSub>
          <m:sSubPr>
            <m:ctrlPr>
              <w:rPr>
                <w:rFonts w:ascii="Cambria Math" w:hAnsi="Cambria Math" w:cs="Cambria Math"/>
                <w:i/>
                <w:color w:val="000000"/>
                <w:lang w:eastAsia="fr-FR"/>
              </w:rPr>
            </m:ctrlPr>
          </m:sSubPr>
          <m:e>
            <m:r>
              <w:rPr>
                <w:rFonts w:ascii="Cambria Math" w:hAnsi="Cambria Math" w:cs="Cambria Math"/>
                <w:color w:val="000000"/>
                <w:lang w:eastAsia="fr-FR"/>
              </w:rPr>
              <m:t>σ</m:t>
            </m:r>
          </m:e>
          <m:sub>
            <m:r>
              <w:rPr>
                <w:rFonts w:ascii="Cambria Math" w:hAnsi="Cambria Math" w:cs="Cambria Math"/>
                <w:color w:val="000000"/>
                <w:lang w:eastAsia="fr-FR"/>
              </w:rPr>
              <m:t>0</m:t>
            </m:r>
          </m:sub>
        </m:sSub>
      </m:oMath>
      <w:r>
        <w:rPr>
          <w:rFonts w:ascii="CenturySchoolbook" w:hAnsi="CenturySchoolbook" w:cs="CenturySchoolbook"/>
          <w:color w:val="000000"/>
          <w:lang w:eastAsia="fr-FR"/>
        </w:rPr>
        <w:t xml:space="preserve">représente la limite élastique à taille de grain infinie et </w:t>
      </w:r>
      <m:oMath>
        <m:sSub>
          <m:sSubPr>
            <m:ctrlPr>
              <w:rPr>
                <w:rFonts w:ascii="Cambria Math" w:hAnsi="Cambria Math" w:cs="Cambria Math"/>
                <w:i/>
                <w:color w:val="000000"/>
                <w:lang w:eastAsia="fr-FR"/>
              </w:rPr>
            </m:ctrlPr>
          </m:sSubPr>
          <m:e>
            <m:r>
              <w:rPr>
                <w:rFonts w:ascii="Cambria Math" w:hAnsi="Cambria Math" w:cs="Cambria Math"/>
                <w:color w:val="000000"/>
                <w:lang w:eastAsia="fr-FR"/>
              </w:rPr>
              <m:t>k</m:t>
            </m:r>
          </m:e>
          <m:sub>
            <m:r>
              <w:rPr>
                <w:rFonts w:ascii="Cambria Math" w:hAnsi="Cambria Math" w:cs="Cambria Math"/>
                <w:color w:val="000000"/>
                <w:lang w:eastAsia="fr-FR"/>
              </w:rPr>
              <m:t>y</m:t>
            </m:r>
          </m:sub>
        </m:sSub>
      </m:oMath>
      <w:r>
        <w:rPr>
          <w:rFonts w:ascii="CenturySchoolbook" w:hAnsi="CenturySchoolbook" w:cs="CenturySchoolbook"/>
          <w:color w:val="000000"/>
          <w:lang w:eastAsia="fr-FR"/>
        </w:rPr>
        <w:t>une constante liée au matériau. L’équation 1.4 montre bien que la limite élastique du matériau augmente avec la diminution de la taille de grains. La relation Hall-</w:t>
      </w:r>
      <w:proofErr w:type="spellStart"/>
      <w:r>
        <w:rPr>
          <w:rFonts w:ascii="CenturySchoolbook" w:hAnsi="CenturySchoolbook" w:cs="CenturySchoolbook"/>
          <w:color w:val="000000"/>
          <w:lang w:eastAsia="fr-FR"/>
        </w:rPr>
        <w:t>Petch</w:t>
      </w:r>
      <w:proofErr w:type="spellEnd"/>
      <w:r>
        <w:rPr>
          <w:rFonts w:ascii="CenturySchoolbook" w:hAnsi="CenturySchoolbook" w:cs="CenturySchoolbook"/>
          <w:color w:val="000000"/>
          <w:lang w:eastAsia="fr-FR"/>
        </w:rPr>
        <w:t xml:space="preserve"> n’est en revanche plus valide lorsqu’on atteint des tailles de grains très petites (&lt;100-200nm) (</w:t>
      </w:r>
      <w:proofErr w:type="spellStart"/>
      <w:r>
        <w:rPr>
          <w:rFonts w:ascii="CenturySchoolbook" w:hAnsi="CenturySchoolbook" w:cs="CenturySchoolbook"/>
          <w:color w:val="0000FF"/>
          <w:lang w:eastAsia="fr-FR"/>
        </w:rPr>
        <w:t>Chokshi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1989</w:t>
      </w:r>
      <w:r>
        <w:rPr>
          <w:rFonts w:ascii="CenturySchoolbook" w:hAnsi="CenturySchoolbook" w:cs="CenturySchoolbook"/>
          <w:color w:val="000000"/>
          <w:lang w:eastAsia="fr-FR"/>
        </w:rPr>
        <w:t>).</w:t>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Différentes tentatives ont été menées pour observer l’origine de cette déviation par Kim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2000</w:t>
      </w:r>
      <w:r>
        <w:rPr>
          <w:rFonts w:ascii="CenturySchoolbook" w:hAnsi="CenturySchoolbook" w:cs="CenturySchoolbook"/>
          <w:color w:val="000000"/>
          <w:lang w:eastAsia="fr-FR"/>
        </w:rPr>
        <w:t>).</w:t>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De nombreux travaux ont été réalisés pour évaluer ces améliorations sur différents</w:t>
      </w:r>
    </w:p>
    <w:p w:rsidR="002A56FA" w:rsidRDefault="002A56FA" w:rsidP="002A56FA">
      <w:pPr>
        <w:autoSpaceDE w:val="0"/>
        <w:autoSpaceDN w:val="0"/>
        <w:adjustRightInd w:val="0"/>
        <w:spacing w:after="0" w:line="240" w:lineRule="auto"/>
        <w:rPr>
          <w:rFonts w:ascii="CenturySchoolbook" w:hAnsi="CenturySchoolbook" w:cs="CenturySchoolbook"/>
          <w:color w:val="0000FF"/>
          <w:lang w:eastAsia="fr-FR"/>
        </w:rPr>
      </w:pPr>
      <w:r>
        <w:rPr>
          <w:rFonts w:ascii="CenturySchoolbook" w:hAnsi="CenturySchoolbook" w:cs="CenturySchoolbook"/>
          <w:color w:val="000000"/>
          <w:lang w:eastAsia="fr-FR"/>
        </w:rPr>
        <w:t>matériaux et procédés SPD (</w:t>
      </w:r>
      <w:proofErr w:type="spellStart"/>
      <w:r>
        <w:rPr>
          <w:rFonts w:ascii="CenturySchoolbook" w:hAnsi="CenturySchoolbook" w:cs="CenturySchoolbook"/>
          <w:color w:val="0000FF"/>
          <w:lang w:eastAsia="fr-FR"/>
        </w:rPr>
        <w:t>Valiev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2000 - </w:t>
      </w:r>
      <w:proofErr w:type="spellStart"/>
      <w:r>
        <w:rPr>
          <w:rFonts w:ascii="CenturySchoolbook" w:hAnsi="CenturySchoolbook" w:cs="CenturySchoolbook"/>
          <w:color w:val="0000FF"/>
          <w:lang w:eastAsia="fr-FR"/>
        </w:rPr>
        <w:t>Gertsman</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xml:space="preserve">, 1994 - </w:t>
      </w:r>
      <w:proofErr w:type="spellStart"/>
      <w:r>
        <w:rPr>
          <w:rFonts w:ascii="CenturySchoolbook" w:hAnsi="CenturySchoolbook" w:cs="CenturySchoolbook"/>
          <w:color w:val="0000FF"/>
          <w:lang w:eastAsia="fr-FR"/>
        </w:rPr>
        <w:t>Korznikov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w:t>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t xml:space="preserve">2003 - Ferrasse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1997</w:t>
      </w:r>
      <w:r>
        <w:rPr>
          <w:rFonts w:ascii="CenturySchoolbook" w:hAnsi="CenturySchoolbook" w:cs="CenturySchoolbook"/>
          <w:color w:val="000000"/>
          <w:lang w:eastAsia="fr-FR"/>
        </w:rPr>
        <w:t>).</w:t>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 dureté est améliorée après déformation avec ces procédés. Généralement, ces valeurs sont mesurées sur la section transverse (en ECAE) ou suivant le rayon (en HPT).</w:t>
      </w:r>
    </w:p>
    <w:p w:rsidR="002A56FA" w:rsidRDefault="002A56FA" w:rsidP="002A56FA">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Il est en réalité aussi intéressant de mesurer la dureté suivant la longueur de l’échantillon (en ECAE) ou la surface du disque (en HPT) pour vérifier l’homogénéité de la dureté après ces procédés. Le dernier point important est que le procédé HPT introduit un gradient de déformation suivant le rayon (la déformation théorique étant nulle au centre du disque). La figure 1.16 montre l’amélioration de la dureté ainsi que son homogénéisation avec l’augmentation du nombre de passes ECAE ou du nombre de tours (déformation).</w:t>
      </w: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r w:rsidRPr="002A56FA">
        <w:rPr>
          <w:rFonts w:ascii="CenturySchoolbook" w:hAnsi="CenturySchoolbook" w:cs="CenturySchoolbook"/>
          <w:noProof/>
          <w:color w:val="000000"/>
          <w:lang w:eastAsia="fr-FR"/>
        </w:rPr>
        <w:drawing>
          <wp:inline distT="0" distB="0" distL="0" distR="0">
            <wp:extent cx="4959851" cy="191452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64295" cy="1916241"/>
                    </a:xfrm>
                    <a:prstGeom prst="rect">
                      <a:avLst/>
                    </a:prstGeom>
                    <a:noFill/>
                    <a:ln>
                      <a:noFill/>
                    </a:ln>
                  </pic:spPr>
                </pic:pic>
              </a:graphicData>
            </a:graphic>
          </wp:inline>
        </w:drawing>
      </w: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1.16 – Micro-dureté Vickers d’un Aluminium pur suivant le rayon de la section transverse a) après 1 et 4 passes d’ECAE (</w:t>
      </w:r>
      <w:proofErr w:type="spellStart"/>
      <w:r>
        <w:rPr>
          <w:rFonts w:ascii="CenturySchoolbook" w:hAnsi="CenturySchoolbook" w:cs="CenturySchoolbook"/>
          <w:color w:val="0000FF"/>
          <w:lang w:eastAsia="fr-FR"/>
        </w:rPr>
        <w:t>Figueiredo</w:t>
      </w:r>
      <w:proofErr w:type="spellEnd"/>
      <w:r>
        <w:rPr>
          <w:rFonts w:ascii="CenturySchoolbook" w:hAnsi="CenturySchoolbook" w:cs="CenturySchoolbook"/>
          <w:color w:val="0000FF"/>
          <w:lang w:eastAsia="fr-FR"/>
        </w:rPr>
        <w:t xml:space="preserve"> &amp; Langdon, 2009</w:t>
      </w:r>
      <w:r>
        <w:rPr>
          <w:rFonts w:ascii="CenturySchoolbook" w:hAnsi="CenturySchoolbook" w:cs="CenturySchoolbook"/>
          <w:color w:val="000000"/>
          <w:lang w:eastAsia="fr-FR"/>
        </w:rPr>
        <w:t>) et b) après</w:t>
      </w:r>
    </w:p>
    <w:p w:rsidR="002A56FA" w:rsidRDefault="002A56FA" w:rsidP="002A56FA">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différentes déformations en HPT (</w:t>
      </w:r>
      <w:proofErr w:type="spellStart"/>
      <w:r>
        <w:rPr>
          <w:rFonts w:ascii="CenturySchoolbook" w:hAnsi="CenturySchoolbook" w:cs="CenturySchoolbook"/>
          <w:color w:val="0000FF"/>
          <w:lang w:eastAsia="fr-FR"/>
        </w:rPr>
        <w:t>Zhilyaev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2005</w:t>
      </w:r>
      <w:r>
        <w:rPr>
          <w:rFonts w:ascii="CenturySchoolbook" w:hAnsi="CenturySchoolbook" w:cs="CenturySchoolbook"/>
          <w:color w:val="000000"/>
          <w:lang w:eastAsia="fr-FR"/>
        </w:rPr>
        <w:t>).</w:t>
      </w:r>
    </w:p>
    <w:p w:rsidR="00AE28A4" w:rsidRDefault="00AE28A4" w:rsidP="00AE28A4">
      <w:pPr>
        <w:autoSpaceDE w:val="0"/>
        <w:autoSpaceDN w:val="0"/>
        <w:adjustRightInd w:val="0"/>
        <w:spacing w:after="0" w:line="240" w:lineRule="auto"/>
        <w:rPr>
          <w:rFonts w:ascii="CenturySchoolbook" w:hAnsi="CenturySchoolbook" w:cs="CenturySchoolbook"/>
          <w:color w:val="000000"/>
          <w:lang w:eastAsia="fr-FR"/>
        </w:rPr>
      </w:pPr>
    </w:p>
    <w:p w:rsidR="00AE28A4" w:rsidRDefault="00AE28A4" w:rsidP="00AE28A4">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 réduction de la taille de grains introduit par les procédés de SPD permet donc d’obtenir une amélioration du renforcement du matériau. L’intensité de cette amélioration peut être caractérisée par des essais mécaniques classiques après</w:t>
      </w:r>
    </w:p>
    <w:p w:rsidR="002A56FA" w:rsidRDefault="00AE28A4" w:rsidP="00AE28A4">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déformation en SPD (</w:t>
      </w:r>
      <w:proofErr w:type="spellStart"/>
      <w:r>
        <w:rPr>
          <w:rFonts w:ascii="CenturySchoolbook" w:hAnsi="CenturySchoolbook" w:cs="CenturySchoolbook"/>
          <w:color w:val="0000FF"/>
          <w:lang w:eastAsia="fr-FR"/>
        </w:rPr>
        <w:t>Ohashi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2006 - </w:t>
      </w:r>
      <w:proofErr w:type="spellStart"/>
      <w:r>
        <w:rPr>
          <w:rFonts w:ascii="CenturySchoolbook" w:hAnsi="CenturySchoolbook" w:cs="CenturySchoolbook"/>
          <w:color w:val="0000FF"/>
          <w:lang w:eastAsia="fr-FR"/>
        </w:rPr>
        <w:t>Horita</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2001</w:t>
      </w:r>
      <w:r>
        <w:rPr>
          <w:rFonts w:ascii="CenturySchoolbook" w:hAnsi="CenturySchoolbook" w:cs="CenturySchoolbook"/>
          <w:color w:val="000000"/>
          <w:lang w:eastAsia="fr-FR"/>
        </w:rPr>
        <w:t>). On peut par exemple montrer sur la figure 1.17 l’amélioration de la limite élastique pour différentes valeurs d’affinement de microstructure par ECAE, laminage et ARB. L’amélioration de la limite élastique est indéniable après avoir été déformé avec des procédés de SPD. En revanche, il est aussi visible qu’une nette perte de la ductilité et du taux d’écrouissage intervient.</w:t>
      </w:r>
    </w:p>
    <w:p w:rsidR="00AE28A4" w:rsidRDefault="00AE28A4" w:rsidP="00AE28A4">
      <w:pPr>
        <w:autoSpaceDE w:val="0"/>
        <w:autoSpaceDN w:val="0"/>
        <w:adjustRightInd w:val="0"/>
        <w:spacing w:after="0" w:line="240" w:lineRule="auto"/>
        <w:jc w:val="center"/>
        <w:rPr>
          <w:rFonts w:ascii="CenturySchoolbook" w:hAnsi="CenturySchoolbook" w:cs="CenturySchoolbook"/>
          <w:color w:val="000000"/>
          <w:lang w:eastAsia="fr-FR"/>
        </w:rPr>
      </w:pPr>
      <w:r w:rsidRPr="00AE28A4">
        <w:rPr>
          <w:rFonts w:ascii="CenturySchoolbook" w:hAnsi="CenturySchoolbook" w:cs="CenturySchoolbook"/>
          <w:noProof/>
          <w:color w:val="000000"/>
          <w:lang w:eastAsia="fr-FR"/>
        </w:rPr>
        <w:lastRenderedPageBreak/>
        <w:drawing>
          <wp:inline distT="0" distB="0" distL="0" distR="0">
            <wp:extent cx="3787757" cy="1866900"/>
            <wp:effectExtent l="0" t="0" r="381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9450" cy="1867735"/>
                    </a:xfrm>
                    <a:prstGeom prst="rect">
                      <a:avLst/>
                    </a:prstGeom>
                    <a:noFill/>
                    <a:ln>
                      <a:noFill/>
                    </a:ln>
                  </pic:spPr>
                </pic:pic>
              </a:graphicData>
            </a:graphic>
          </wp:inline>
        </w:drawing>
      </w:r>
    </w:p>
    <w:p w:rsidR="00AE28A4" w:rsidRDefault="00AE28A4" w:rsidP="00AE28A4">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1.17 – Courbes contrainte-déformation d’un Acier IF produits par le procédé a)</w:t>
      </w:r>
    </w:p>
    <w:p w:rsidR="00AE28A4" w:rsidRDefault="00AE28A4" w:rsidP="00AE28A4">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ECAE (</w:t>
      </w:r>
      <w:proofErr w:type="spellStart"/>
      <w:r>
        <w:rPr>
          <w:rFonts w:ascii="CenturySchoolbook" w:hAnsi="CenturySchoolbook" w:cs="CenturySchoolbook"/>
          <w:color w:val="0000FF"/>
          <w:lang w:eastAsia="fr-FR"/>
        </w:rPr>
        <w:t>Yanagida</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2008</w:t>
      </w:r>
      <w:r>
        <w:rPr>
          <w:rFonts w:ascii="CenturySchoolbook" w:hAnsi="CenturySchoolbook" w:cs="CenturySchoolbook"/>
          <w:color w:val="000000"/>
          <w:lang w:eastAsia="fr-FR"/>
        </w:rPr>
        <w:t>) et b) ARB (</w:t>
      </w:r>
      <w:proofErr w:type="spellStart"/>
      <w:r>
        <w:rPr>
          <w:rFonts w:ascii="CenturySchoolbook" w:hAnsi="CenturySchoolbook" w:cs="CenturySchoolbook"/>
          <w:color w:val="0000FF"/>
          <w:lang w:eastAsia="fr-FR"/>
        </w:rPr>
        <w:t>Tsuji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2002</w:t>
      </w:r>
      <w:r>
        <w:rPr>
          <w:rFonts w:ascii="CenturySchoolbook" w:hAnsi="CenturySchoolbook" w:cs="CenturySchoolbook"/>
          <w:color w:val="000000"/>
          <w:lang w:eastAsia="fr-FR"/>
        </w:rPr>
        <w:t>).</w:t>
      </w:r>
    </w:p>
    <w:p w:rsidR="00AE28A4" w:rsidRDefault="00AE28A4" w:rsidP="00AE28A4">
      <w:pPr>
        <w:autoSpaceDE w:val="0"/>
        <w:autoSpaceDN w:val="0"/>
        <w:adjustRightInd w:val="0"/>
        <w:spacing w:after="0" w:line="240" w:lineRule="auto"/>
        <w:rPr>
          <w:rFonts w:ascii="CenturySchoolbook" w:hAnsi="CenturySchoolbook" w:cs="CenturySchoolbook"/>
          <w:color w:val="000000"/>
          <w:lang w:eastAsia="fr-FR"/>
        </w:rPr>
      </w:pPr>
    </w:p>
    <w:p w:rsidR="00AE28A4" w:rsidRDefault="00AE28A4" w:rsidP="00AE28A4">
      <w:pPr>
        <w:autoSpaceDE w:val="0"/>
        <w:autoSpaceDN w:val="0"/>
        <w:adjustRightInd w:val="0"/>
        <w:spacing w:after="0" w:line="240" w:lineRule="auto"/>
        <w:rPr>
          <w:rFonts w:ascii="CenturySchoolbook" w:hAnsi="CenturySchoolbook" w:cs="CenturySchoolbook"/>
          <w:lang w:eastAsia="fr-FR"/>
        </w:rPr>
      </w:pPr>
      <w:r>
        <w:rPr>
          <w:rFonts w:ascii="CenturySchoolbook" w:hAnsi="CenturySchoolbook" w:cs="CenturySchoolbook"/>
          <w:lang w:eastAsia="fr-FR"/>
        </w:rPr>
        <w:t xml:space="preserve">La figure 1.18 représente les courbes contrainte-déformation après 8 passes d’ECAE obtenues pour différentes conditions de chargements. Cette perte de ductilité peut être attribuée à la combinaison d’une grande contrainte d’écoulement avec une faible capacité d’écrouissage des matériaux </w:t>
      </w:r>
      <w:proofErr w:type="spellStart"/>
      <w:r>
        <w:rPr>
          <w:rFonts w:ascii="CenturySchoolbook" w:hAnsi="CenturySchoolbook" w:cs="CenturySchoolbook"/>
          <w:lang w:eastAsia="fr-FR"/>
        </w:rPr>
        <w:t>nanostructurés</w:t>
      </w:r>
      <w:proofErr w:type="spellEnd"/>
      <w:r>
        <w:rPr>
          <w:rFonts w:ascii="CenturySchoolbook" w:hAnsi="CenturySchoolbook" w:cs="CenturySchoolbook"/>
          <w:lang w:eastAsia="fr-FR"/>
        </w:rPr>
        <w:t xml:space="preserve"> par ces procédés.</w:t>
      </w:r>
    </w:p>
    <w:p w:rsidR="00AE28A4" w:rsidRDefault="00AE28A4" w:rsidP="00AE28A4">
      <w:pPr>
        <w:autoSpaceDE w:val="0"/>
        <w:autoSpaceDN w:val="0"/>
        <w:adjustRightInd w:val="0"/>
        <w:spacing w:after="0" w:line="240" w:lineRule="auto"/>
        <w:rPr>
          <w:rFonts w:ascii="CenturySchoolbook" w:hAnsi="CenturySchoolbook" w:cs="CenturySchoolbook"/>
          <w:lang w:eastAsia="fr-FR"/>
        </w:rPr>
      </w:pPr>
    </w:p>
    <w:p w:rsidR="00AE28A4" w:rsidRDefault="00BD1E3D" w:rsidP="00BD1E3D">
      <w:pPr>
        <w:autoSpaceDE w:val="0"/>
        <w:autoSpaceDN w:val="0"/>
        <w:adjustRightInd w:val="0"/>
        <w:spacing w:after="0" w:line="240" w:lineRule="auto"/>
        <w:jc w:val="center"/>
        <w:rPr>
          <w:rFonts w:ascii="CenturySchoolbook" w:hAnsi="CenturySchoolbook" w:cs="CenturySchoolbook"/>
          <w:lang w:eastAsia="fr-FR"/>
        </w:rPr>
      </w:pPr>
      <w:r w:rsidRPr="00BD1E3D">
        <w:rPr>
          <w:rFonts w:ascii="CenturySchoolbook" w:hAnsi="CenturySchoolbook" w:cs="CenturySchoolbook"/>
          <w:noProof/>
          <w:lang w:eastAsia="fr-FR"/>
        </w:rPr>
        <w:drawing>
          <wp:inline distT="0" distB="0" distL="0" distR="0">
            <wp:extent cx="4336408" cy="3429000"/>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7976" cy="3430240"/>
                    </a:xfrm>
                    <a:prstGeom prst="rect">
                      <a:avLst/>
                    </a:prstGeom>
                    <a:noFill/>
                    <a:ln>
                      <a:noFill/>
                    </a:ln>
                  </pic:spPr>
                </pic:pic>
              </a:graphicData>
            </a:graphic>
          </wp:inline>
        </w:drawing>
      </w:r>
    </w:p>
    <w:p w:rsidR="00BD1E3D" w:rsidRDefault="00BD1E3D" w:rsidP="00BD1E3D">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1.18 – Courbes contrainte-déformation pour différents chargements monotones d’un</w:t>
      </w:r>
    </w:p>
    <w:p w:rsidR="00BD1E3D" w:rsidRDefault="00BD1E3D" w:rsidP="00BD1E3D">
      <w:pPr>
        <w:autoSpaceDE w:val="0"/>
        <w:autoSpaceDN w:val="0"/>
        <w:adjustRightInd w:val="0"/>
        <w:spacing w:after="0" w:line="240" w:lineRule="auto"/>
        <w:jc w:val="center"/>
        <w:rPr>
          <w:rFonts w:ascii="CenturySchoolbook" w:hAnsi="CenturySchoolbook" w:cs="CenturySchoolbook"/>
          <w:color w:val="000000"/>
          <w:lang w:eastAsia="fr-FR"/>
        </w:rPr>
      </w:pPr>
      <w:proofErr w:type="gramStart"/>
      <w:r>
        <w:rPr>
          <w:rFonts w:ascii="CenturySchoolbook" w:hAnsi="CenturySchoolbook" w:cs="CenturySchoolbook"/>
          <w:color w:val="000000"/>
          <w:lang w:eastAsia="fr-FR"/>
        </w:rPr>
        <w:t>alliage</w:t>
      </w:r>
      <w:proofErr w:type="gramEnd"/>
      <w:r>
        <w:rPr>
          <w:rFonts w:ascii="CenturySchoolbook" w:hAnsi="CenturySchoolbook" w:cs="CenturySchoolbook"/>
          <w:color w:val="000000"/>
          <w:lang w:eastAsia="fr-FR"/>
        </w:rPr>
        <w:t xml:space="preserve"> d’Aluminium AA1050 (</w:t>
      </w:r>
      <w:proofErr w:type="spellStart"/>
      <w:r>
        <w:rPr>
          <w:rFonts w:ascii="CenturySchoolbook" w:hAnsi="CenturySchoolbook" w:cs="CenturySchoolbook"/>
          <w:color w:val="0000FF"/>
          <w:lang w:eastAsia="fr-FR"/>
        </w:rPr>
        <w:t>Poortmans</w:t>
      </w:r>
      <w:proofErr w:type="spellEnd"/>
      <w:r>
        <w:rPr>
          <w:rFonts w:ascii="CenturySchoolbook" w:hAnsi="CenturySchoolbook" w:cs="CenturySchoolbook"/>
          <w:color w:val="0000FF"/>
          <w:lang w:eastAsia="fr-FR"/>
        </w:rPr>
        <w:t xml:space="preserve"> &amp; </w:t>
      </w:r>
      <w:proofErr w:type="spellStart"/>
      <w:r>
        <w:rPr>
          <w:rFonts w:ascii="CenturySchoolbook" w:hAnsi="CenturySchoolbook" w:cs="CenturySchoolbook"/>
          <w:color w:val="0000FF"/>
          <w:lang w:eastAsia="fr-FR"/>
        </w:rPr>
        <w:t>Verlinden</w:t>
      </w:r>
      <w:proofErr w:type="spellEnd"/>
      <w:r>
        <w:rPr>
          <w:rFonts w:ascii="CenturySchoolbook" w:hAnsi="CenturySchoolbook" w:cs="CenturySchoolbook"/>
          <w:color w:val="0000FF"/>
          <w:lang w:eastAsia="fr-FR"/>
        </w:rPr>
        <w:t>, 2005</w:t>
      </w:r>
      <w:r>
        <w:rPr>
          <w:rFonts w:ascii="CenturySchoolbook" w:hAnsi="CenturySchoolbook" w:cs="CenturySchoolbook"/>
          <w:color w:val="000000"/>
          <w:lang w:eastAsia="fr-FR"/>
        </w:rPr>
        <w:t>).</w:t>
      </w:r>
    </w:p>
    <w:p w:rsidR="00BD1E3D" w:rsidRDefault="00BD1E3D" w:rsidP="00BD1E3D">
      <w:pPr>
        <w:autoSpaceDE w:val="0"/>
        <w:autoSpaceDN w:val="0"/>
        <w:adjustRightInd w:val="0"/>
        <w:spacing w:after="0" w:line="240" w:lineRule="auto"/>
        <w:jc w:val="center"/>
        <w:rPr>
          <w:rFonts w:ascii="CenturySchoolbook" w:hAnsi="CenturySchoolbook" w:cs="CenturySchoolbook"/>
          <w:color w:val="000000"/>
          <w:lang w:eastAsia="fr-FR"/>
        </w:rPr>
      </w:pPr>
    </w:p>
    <w:p w:rsidR="00BD1E3D" w:rsidRDefault="00BD1E3D" w:rsidP="00BD1E3D">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La perte de ductilité observée peut être remédiée en </w:t>
      </w:r>
      <w:r>
        <w:rPr>
          <w:rFonts w:ascii="CenturySchoolbook" w:hAnsi="CenturySchoolbook" w:cs="CenturySchoolbook"/>
          <w:color w:val="000000"/>
          <w:lang w:eastAsia="fr-FR"/>
        </w:rPr>
        <w:t xml:space="preserve">ajoutant une seconde phase dans </w:t>
      </w:r>
      <w:r>
        <w:rPr>
          <w:rFonts w:ascii="CenturySchoolbook" w:hAnsi="CenturySchoolbook" w:cs="CenturySchoolbook"/>
          <w:color w:val="000000"/>
          <w:lang w:eastAsia="fr-FR"/>
        </w:rPr>
        <w:t>la microstructure. Des aciers biphasés ferrite-marten</w:t>
      </w:r>
      <w:r>
        <w:rPr>
          <w:rFonts w:ascii="CenturySchoolbook" w:hAnsi="CenturySchoolbook" w:cs="CenturySchoolbook"/>
          <w:color w:val="000000"/>
          <w:lang w:eastAsia="fr-FR"/>
        </w:rPr>
        <w:t xml:space="preserve">site à grains ultrafins ont été </w:t>
      </w:r>
      <w:r>
        <w:rPr>
          <w:rFonts w:ascii="CenturySchoolbook" w:hAnsi="CenturySchoolbook" w:cs="CenturySchoolbook"/>
          <w:color w:val="000000"/>
          <w:lang w:eastAsia="fr-FR"/>
        </w:rPr>
        <w:t xml:space="preserve">élaborés par Park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2004</w:t>
      </w:r>
      <w:r>
        <w:rPr>
          <w:rFonts w:ascii="CenturySchoolbook" w:hAnsi="CenturySchoolbook" w:cs="CenturySchoolbook"/>
          <w:color w:val="000000"/>
          <w:lang w:eastAsia="fr-FR"/>
        </w:rPr>
        <w:t>) par le procédé ECAE suivi d’</w:t>
      </w:r>
      <w:r>
        <w:rPr>
          <w:rFonts w:ascii="CenturySchoolbook" w:hAnsi="CenturySchoolbook" w:cs="CenturySchoolbook"/>
          <w:color w:val="000000"/>
          <w:lang w:eastAsia="fr-FR"/>
        </w:rPr>
        <w:t xml:space="preserve">une trempe. Une forte </w:t>
      </w:r>
      <w:r>
        <w:rPr>
          <w:rFonts w:ascii="CenturySchoolbook" w:hAnsi="CenturySchoolbook" w:cs="CenturySchoolbook"/>
          <w:color w:val="000000"/>
          <w:lang w:eastAsia="fr-FR"/>
        </w:rPr>
        <w:t>densité de dislocation a été remarquée dans les g</w:t>
      </w:r>
      <w:r>
        <w:rPr>
          <w:rFonts w:ascii="CenturySchoolbook" w:hAnsi="CenturySchoolbook" w:cs="CenturySchoolbook"/>
          <w:color w:val="000000"/>
          <w:lang w:eastAsia="fr-FR"/>
        </w:rPr>
        <w:t xml:space="preserve">rains </w:t>
      </w:r>
      <w:proofErr w:type="spellStart"/>
      <w:r>
        <w:rPr>
          <w:rFonts w:ascii="CenturySchoolbook" w:hAnsi="CenturySchoolbook" w:cs="CenturySchoolbook"/>
          <w:color w:val="000000"/>
          <w:lang w:eastAsia="fr-FR"/>
        </w:rPr>
        <w:t>ferritiques</w:t>
      </w:r>
      <w:proofErr w:type="spellEnd"/>
      <w:r>
        <w:rPr>
          <w:rFonts w:ascii="CenturySchoolbook" w:hAnsi="CenturySchoolbook" w:cs="CenturySchoolbook"/>
          <w:color w:val="000000"/>
          <w:lang w:eastAsia="fr-FR"/>
        </w:rPr>
        <w:t xml:space="preserve"> proches de la </w:t>
      </w:r>
      <w:r>
        <w:rPr>
          <w:rFonts w:ascii="CenturySchoolbook" w:hAnsi="CenturySchoolbook" w:cs="CenturySchoolbook"/>
          <w:color w:val="000000"/>
          <w:lang w:eastAsia="fr-FR"/>
        </w:rPr>
        <w:t>martensite. La plupart d’entre elles résultent de la tr</w:t>
      </w:r>
      <w:r>
        <w:rPr>
          <w:rFonts w:ascii="CenturySchoolbook" w:hAnsi="CenturySchoolbook" w:cs="CenturySchoolbook"/>
          <w:color w:val="000000"/>
          <w:lang w:eastAsia="fr-FR"/>
        </w:rPr>
        <w:t xml:space="preserve">ansformation de phase durant la </w:t>
      </w:r>
      <w:r>
        <w:rPr>
          <w:rFonts w:ascii="CenturySchoolbook" w:hAnsi="CenturySchoolbook" w:cs="CenturySchoolbook"/>
          <w:color w:val="000000"/>
          <w:lang w:eastAsia="fr-FR"/>
        </w:rPr>
        <w:t>trempe. C’est donc cette densité de dislocation qui permet d’</w:t>
      </w:r>
      <w:r>
        <w:rPr>
          <w:rFonts w:ascii="CenturySchoolbook" w:hAnsi="CenturySchoolbook" w:cs="CenturySchoolbook"/>
          <w:color w:val="000000"/>
          <w:lang w:eastAsia="fr-FR"/>
        </w:rPr>
        <w:t xml:space="preserve">augmenter la ductilité du </w:t>
      </w:r>
      <w:r>
        <w:rPr>
          <w:rFonts w:ascii="CenturySchoolbook" w:hAnsi="CenturySchoolbook" w:cs="CenturySchoolbook"/>
          <w:color w:val="000000"/>
          <w:lang w:eastAsia="fr-FR"/>
        </w:rPr>
        <w:t>matériau. D’autres exemples d’améliorations de la du</w:t>
      </w:r>
      <w:r>
        <w:rPr>
          <w:rFonts w:ascii="CenturySchoolbook" w:hAnsi="CenturySchoolbook" w:cs="CenturySchoolbook"/>
          <w:color w:val="000000"/>
          <w:lang w:eastAsia="fr-FR"/>
        </w:rPr>
        <w:t xml:space="preserve">ctilité ont pu être observés en </w:t>
      </w:r>
      <w:r>
        <w:rPr>
          <w:rFonts w:ascii="CenturySchoolbook" w:hAnsi="CenturySchoolbook" w:cs="CenturySchoolbook"/>
          <w:color w:val="000000"/>
          <w:lang w:eastAsia="fr-FR"/>
        </w:rPr>
        <w:t>utilisant par exemple :</w:t>
      </w:r>
    </w:p>
    <w:p w:rsidR="00BD1E3D" w:rsidRPr="00BD1E3D" w:rsidRDefault="00BD1E3D" w:rsidP="00BD1E3D">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BD1E3D">
        <w:rPr>
          <w:rFonts w:ascii="SymbolMT" w:eastAsia="SymbolMT" w:hAnsi="CenturySchoolbook" w:cs="SymbolMT"/>
          <w:color w:val="000000"/>
          <w:lang w:eastAsia="fr-FR"/>
        </w:rPr>
        <w:t xml:space="preserve"> </w:t>
      </w:r>
      <w:r w:rsidRPr="00BD1E3D">
        <w:rPr>
          <w:rFonts w:ascii="CenturySchoolbook" w:hAnsi="CenturySchoolbook" w:cs="CenturySchoolbook"/>
          <w:color w:val="000000"/>
          <w:lang w:eastAsia="fr-FR"/>
        </w:rPr>
        <w:t>des matériaux à faible énergie de fautes d’empilement en ajoutant des éléments</w:t>
      </w:r>
    </w:p>
    <w:p w:rsidR="00BD1E3D" w:rsidRDefault="00BD1E3D" w:rsidP="00BD1E3D">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d’alliages (</w:t>
      </w:r>
      <w:r>
        <w:rPr>
          <w:rFonts w:ascii="CenturySchoolbook" w:hAnsi="CenturySchoolbook" w:cs="CenturySchoolbook"/>
          <w:color w:val="0000FF"/>
          <w:lang w:eastAsia="fr-FR"/>
        </w:rPr>
        <w:t xml:space="preserve">Zhao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2008</w:t>
      </w:r>
      <w:r>
        <w:rPr>
          <w:rFonts w:ascii="CenturySchoolbook" w:hAnsi="CenturySchoolbook" w:cs="CenturySchoolbook"/>
          <w:color w:val="000000"/>
          <w:lang w:eastAsia="fr-FR"/>
        </w:rPr>
        <w:t>),</w:t>
      </w:r>
    </w:p>
    <w:p w:rsidR="00BD1E3D" w:rsidRPr="00BD1E3D" w:rsidRDefault="00BD1E3D" w:rsidP="00BD1E3D">
      <w:pPr>
        <w:pStyle w:val="Paragraphedeliste"/>
        <w:numPr>
          <w:ilvl w:val="0"/>
          <w:numId w:val="2"/>
        </w:numPr>
        <w:autoSpaceDE w:val="0"/>
        <w:autoSpaceDN w:val="0"/>
        <w:adjustRightInd w:val="0"/>
        <w:spacing w:after="0" w:line="240" w:lineRule="auto"/>
        <w:rPr>
          <w:rFonts w:ascii="CenturySchoolbook" w:hAnsi="CenturySchoolbook" w:cs="CenturySchoolbook"/>
          <w:color w:val="0000FF"/>
          <w:lang w:eastAsia="fr-FR"/>
        </w:rPr>
      </w:pPr>
      <w:r w:rsidRPr="00BD1E3D">
        <w:rPr>
          <w:rFonts w:ascii="SymbolMT" w:eastAsia="SymbolMT" w:hAnsi="CenturySchoolbook" w:cs="SymbolMT"/>
          <w:color w:val="000000"/>
          <w:lang w:eastAsia="fr-FR"/>
        </w:rPr>
        <w:t xml:space="preserve"> </w:t>
      </w:r>
      <w:r w:rsidRPr="00BD1E3D">
        <w:rPr>
          <w:rFonts w:ascii="CenturySchoolbook" w:hAnsi="CenturySchoolbook" w:cs="CenturySchoolbook"/>
          <w:color w:val="000000"/>
          <w:lang w:eastAsia="fr-FR"/>
        </w:rPr>
        <w:t xml:space="preserve">des alliages de </w:t>
      </w:r>
      <w:proofErr w:type="spellStart"/>
      <w:r w:rsidRPr="00BD1E3D">
        <w:rPr>
          <w:rFonts w:ascii="CenturySchoolbook" w:hAnsi="CenturySchoolbook" w:cs="CenturySchoolbook"/>
          <w:color w:val="000000"/>
          <w:lang w:eastAsia="fr-FR"/>
        </w:rPr>
        <w:t>Magnesium</w:t>
      </w:r>
      <w:proofErr w:type="spellEnd"/>
      <w:r w:rsidRPr="00BD1E3D">
        <w:rPr>
          <w:rFonts w:ascii="CenturySchoolbook" w:hAnsi="CenturySchoolbook" w:cs="CenturySchoolbook"/>
          <w:color w:val="000000"/>
          <w:lang w:eastAsia="fr-FR"/>
        </w:rPr>
        <w:t xml:space="preserve"> (</w:t>
      </w:r>
      <w:proofErr w:type="spellStart"/>
      <w:r w:rsidRPr="00BD1E3D">
        <w:rPr>
          <w:rFonts w:ascii="CenturySchoolbook" w:hAnsi="CenturySchoolbook" w:cs="CenturySchoolbook"/>
          <w:color w:val="0000FF"/>
          <w:lang w:eastAsia="fr-FR"/>
        </w:rPr>
        <w:t>Mukai</w:t>
      </w:r>
      <w:proofErr w:type="spellEnd"/>
      <w:r w:rsidRPr="00BD1E3D">
        <w:rPr>
          <w:rFonts w:ascii="CenturySchoolbook" w:hAnsi="CenturySchoolbook" w:cs="CenturySchoolbook"/>
          <w:color w:val="0000FF"/>
          <w:lang w:eastAsia="fr-FR"/>
        </w:rPr>
        <w:t xml:space="preserve"> </w:t>
      </w:r>
      <w:r w:rsidRPr="00BD1E3D">
        <w:rPr>
          <w:rFonts w:ascii="CenturySchoolbook-Italic" w:hAnsi="CenturySchoolbook-Italic" w:cs="CenturySchoolbook-Italic"/>
          <w:i/>
          <w:iCs/>
          <w:color w:val="0000FF"/>
          <w:lang w:eastAsia="fr-FR"/>
        </w:rPr>
        <w:t xml:space="preserve">et </w:t>
      </w:r>
      <w:proofErr w:type="gramStart"/>
      <w:r w:rsidRPr="00BD1E3D">
        <w:rPr>
          <w:rFonts w:ascii="CenturySchoolbook-Italic" w:hAnsi="CenturySchoolbook-Italic" w:cs="CenturySchoolbook-Italic"/>
          <w:i/>
          <w:iCs/>
          <w:color w:val="0000FF"/>
          <w:lang w:eastAsia="fr-FR"/>
        </w:rPr>
        <w:t>al.</w:t>
      </w:r>
      <w:r w:rsidRPr="00BD1E3D">
        <w:rPr>
          <w:rFonts w:ascii="CenturySchoolbook" w:hAnsi="CenturySchoolbook" w:cs="CenturySchoolbook"/>
          <w:color w:val="0000FF"/>
          <w:lang w:eastAsia="fr-FR"/>
        </w:rPr>
        <w:t>,</w:t>
      </w:r>
      <w:proofErr w:type="gramEnd"/>
      <w:r w:rsidRPr="00BD1E3D">
        <w:rPr>
          <w:rFonts w:ascii="CenturySchoolbook" w:hAnsi="CenturySchoolbook" w:cs="CenturySchoolbook"/>
          <w:color w:val="0000FF"/>
          <w:lang w:eastAsia="fr-FR"/>
        </w:rPr>
        <w:t xml:space="preserve"> 2001 - </w:t>
      </w:r>
      <w:proofErr w:type="spellStart"/>
      <w:r w:rsidRPr="00BD1E3D">
        <w:rPr>
          <w:rFonts w:ascii="CenturySchoolbook" w:hAnsi="CenturySchoolbook" w:cs="CenturySchoolbook"/>
          <w:color w:val="0000FF"/>
          <w:lang w:eastAsia="fr-FR"/>
        </w:rPr>
        <w:t>Agnew</w:t>
      </w:r>
      <w:proofErr w:type="spellEnd"/>
      <w:r w:rsidRPr="00BD1E3D">
        <w:rPr>
          <w:rFonts w:ascii="CenturySchoolbook" w:hAnsi="CenturySchoolbook" w:cs="CenturySchoolbook"/>
          <w:color w:val="0000FF"/>
          <w:lang w:eastAsia="fr-FR"/>
        </w:rPr>
        <w:t xml:space="preserve"> </w:t>
      </w:r>
      <w:r w:rsidRPr="00BD1E3D">
        <w:rPr>
          <w:rFonts w:ascii="CenturySchoolbook-Italic" w:hAnsi="CenturySchoolbook-Italic" w:cs="CenturySchoolbook-Italic"/>
          <w:i/>
          <w:iCs/>
          <w:color w:val="0000FF"/>
          <w:lang w:eastAsia="fr-FR"/>
        </w:rPr>
        <w:t>et al.</w:t>
      </w:r>
      <w:r w:rsidRPr="00BD1E3D">
        <w:rPr>
          <w:rFonts w:ascii="CenturySchoolbook" w:hAnsi="CenturySchoolbook" w:cs="CenturySchoolbook"/>
          <w:color w:val="0000FF"/>
          <w:lang w:eastAsia="fr-FR"/>
        </w:rPr>
        <w:t xml:space="preserve">, 2005 - </w:t>
      </w:r>
      <w:proofErr w:type="spellStart"/>
      <w:r w:rsidRPr="00BD1E3D">
        <w:rPr>
          <w:rFonts w:ascii="CenturySchoolbook" w:hAnsi="CenturySchoolbook" w:cs="CenturySchoolbook"/>
          <w:color w:val="0000FF"/>
          <w:lang w:eastAsia="fr-FR"/>
        </w:rPr>
        <w:t>Figueiredo</w:t>
      </w:r>
      <w:proofErr w:type="spellEnd"/>
    </w:p>
    <w:p w:rsidR="00BD1E3D" w:rsidRDefault="00BD1E3D" w:rsidP="00BD1E3D">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lastRenderedPageBreak/>
        <w:t>&amp; Langdon, 2008</w:t>
      </w:r>
      <w:r>
        <w:rPr>
          <w:rFonts w:ascii="CenturySchoolbook" w:hAnsi="CenturySchoolbook" w:cs="CenturySchoolbook"/>
          <w:color w:val="000000"/>
          <w:lang w:eastAsia="fr-FR"/>
        </w:rPr>
        <w:t>), ayant une structure crista</w:t>
      </w:r>
      <w:r>
        <w:rPr>
          <w:rFonts w:ascii="CenturySchoolbook" w:hAnsi="CenturySchoolbook" w:cs="CenturySchoolbook"/>
          <w:color w:val="000000"/>
          <w:lang w:eastAsia="fr-FR"/>
        </w:rPr>
        <w:t xml:space="preserve">llographie hexagonale compacte, </w:t>
      </w:r>
      <w:r>
        <w:rPr>
          <w:rFonts w:ascii="CenturySchoolbook" w:hAnsi="CenturySchoolbook" w:cs="CenturySchoolbook"/>
          <w:color w:val="000000"/>
          <w:lang w:eastAsia="fr-FR"/>
        </w:rPr>
        <w:t>la texture développée sous cisaillement simple améliore la ductilité,</w:t>
      </w:r>
    </w:p>
    <w:p w:rsidR="00BD1E3D" w:rsidRPr="00BD1E3D" w:rsidRDefault="00BD1E3D" w:rsidP="00BD1E3D">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BD1E3D">
        <w:rPr>
          <w:rFonts w:ascii="SymbolMT" w:eastAsia="SymbolMT" w:hAnsi="CenturySchoolbook" w:cs="SymbolMT"/>
          <w:color w:val="000000"/>
          <w:lang w:eastAsia="fr-FR"/>
        </w:rPr>
        <w:t xml:space="preserve"> </w:t>
      </w:r>
      <w:r w:rsidRPr="00BD1E3D">
        <w:rPr>
          <w:rFonts w:ascii="CenturySchoolbook" w:hAnsi="CenturySchoolbook" w:cs="CenturySchoolbook"/>
          <w:color w:val="000000"/>
          <w:lang w:eastAsia="fr-FR"/>
        </w:rPr>
        <w:t xml:space="preserve">des matériaux à structures </w:t>
      </w:r>
      <w:proofErr w:type="spellStart"/>
      <w:r w:rsidRPr="00BD1E3D">
        <w:rPr>
          <w:rFonts w:ascii="CenturySchoolbook" w:hAnsi="CenturySchoolbook" w:cs="CenturySchoolbook"/>
          <w:color w:val="000000"/>
          <w:lang w:eastAsia="fr-FR"/>
        </w:rPr>
        <w:t>bi-modales</w:t>
      </w:r>
      <w:proofErr w:type="spellEnd"/>
      <w:r w:rsidRPr="00BD1E3D">
        <w:rPr>
          <w:rFonts w:ascii="CenturySchoolbook" w:hAnsi="CenturySchoolbook" w:cs="CenturySchoolbook"/>
          <w:color w:val="000000"/>
          <w:lang w:eastAsia="fr-FR"/>
        </w:rPr>
        <w:t xml:space="preserve"> : petits et gros grains (</w:t>
      </w:r>
      <w:r w:rsidRPr="00BD1E3D">
        <w:rPr>
          <w:rFonts w:ascii="CenturySchoolbook" w:hAnsi="CenturySchoolbook" w:cs="CenturySchoolbook"/>
          <w:color w:val="0000FF"/>
          <w:lang w:eastAsia="fr-FR"/>
        </w:rPr>
        <w:t xml:space="preserve">Wang </w:t>
      </w:r>
      <w:r w:rsidRPr="00BD1E3D">
        <w:rPr>
          <w:rFonts w:ascii="CenturySchoolbook-Italic" w:hAnsi="CenturySchoolbook-Italic" w:cs="CenturySchoolbook-Italic"/>
          <w:i/>
          <w:iCs/>
          <w:color w:val="0000FF"/>
          <w:lang w:eastAsia="fr-FR"/>
        </w:rPr>
        <w:t xml:space="preserve">et </w:t>
      </w:r>
      <w:proofErr w:type="gramStart"/>
      <w:r w:rsidRPr="00BD1E3D">
        <w:rPr>
          <w:rFonts w:ascii="CenturySchoolbook-Italic" w:hAnsi="CenturySchoolbook-Italic" w:cs="CenturySchoolbook-Italic"/>
          <w:i/>
          <w:iCs/>
          <w:color w:val="0000FF"/>
          <w:lang w:eastAsia="fr-FR"/>
        </w:rPr>
        <w:t>al.</w:t>
      </w:r>
      <w:r w:rsidRPr="00BD1E3D">
        <w:rPr>
          <w:rFonts w:ascii="CenturySchoolbook" w:hAnsi="CenturySchoolbook" w:cs="CenturySchoolbook"/>
          <w:color w:val="0000FF"/>
          <w:lang w:eastAsia="fr-FR"/>
        </w:rPr>
        <w:t>,</w:t>
      </w:r>
      <w:proofErr w:type="gramEnd"/>
      <w:r w:rsidRPr="00BD1E3D">
        <w:rPr>
          <w:rFonts w:ascii="CenturySchoolbook" w:hAnsi="CenturySchoolbook" w:cs="CenturySchoolbook"/>
          <w:color w:val="0000FF"/>
          <w:lang w:eastAsia="fr-FR"/>
        </w:rPr>
        <w:t xml:space="preserve"> 2002</w:t>
      </w:r>
      <w:r w:rsidRPr="00BD1E3D">
        <w:rPr>
          <w:rFonts w:ascii="CenturySchoolbook" w:hAnsi="CenturySchoolbook" w:cs="CenturySchoolbook"/>
          <w:color w:val="000000"/>
          <w:lang w:eastAsia="fr-FR"/>
        </w:rPr>
        <w:t>)</w:t>
      </w:r>
    </w:p>
    <w:p w:rsidR="00BD1E3D" w:rsidRDefault="00BD1E3D" w:rsidP="00BD1E3D">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Ce dernier point suscite toujours des controverses dans la littérature.</w:t>
      </w:r>
    </w:p>
    <w:p w:rsidR="00BD1E3D" w:rsidRDefault="00BD1E3D" w:rsidP="00BD1E3D">
      <w:pPr>
        <w:autoSpaceDE w:val="0"/>
        <w:autoSpaceDN w:val="0"/>
        <w:adjustRightInd w:val="0"/>
        <w:spacing w:after="0" w:line="240" w:lineRule="auto"/>
        <w:rPr>
          <w:rFonts w:ascii="CenturySchoolbook" w:hAnsi="CenturySchoolbook" w:cs="CenturySchoolbook"/>
          <w:color w:val="000000"/>
          <w:lang w:eastAsia="fr-FR"/>
        </w:rPr>
      </w:pPr>
    </w:p>
    <w:p w:rsidR="00B01632" w:rsidRDefault="00B01632" w:rsidP="00B01632">
      <w:pPr>
        <w:autoSpaceDE w:val="0"/>
        <w:autoSpaceDN w:val="0"/>
        <w:adjustRightInd w:val="0"/>
        <w:spacing w:after="0" w:line="240" w:lineRule="auto"/>
        <w:rPr>
          <w:rFonts w:ascii="CenturySchoolbook-Bold" w:hAnsi="CenturySchoolbook-Bold" w:cs="CenturySchoolbook-Bold"/>
          <w:b/>
          <w:bCs/>
          <w:color w:val="000000"/>
          <w:sz w:val="28"/>
          <w:szCs w:val="28"/>
          <w:lang w:eastAsia="fr-FR"/>
        </w:rPr>
      </w:pPr>
      <w:r>
        <w:rPr>
          <w:rFonts w:ascii="CenturySchoolbook-Bold" w:hAnsi="CenturySchoolbook-Bold" w:cs="CenturySchoolbook-Bold"/>
          <w:b/>
          <w:bCs/>
          <w:color w:val="000000"/>
          <w:sz w:val="28"/>
          <w:szCs w:val="28"/>
          <w:lang w:eastAsia="fr-FR"/>
        </w:rPr>
        <w:t>1.3.2 Autres propriétés</w:t>
      </w:r>
    </w:p>
    <w:p w:rsidR="00B01632" w:rsidRDefault="00B01632" w:rsidP="00B01632">
      <w:pPr>
        <w:autoSpaceDE w:val="0"/>
        <w:autoSpaceDN w:val="0"/>
        <w:adjustRightInd w:val="0"/>
        <w:spacing w:after="0" w:line="240" w:lineRule="auto"/>
        <w:rPr>
          <w:rFonts w:ascii="CenturySchoolbook-Bold" w:hAnsi="CenturySchoolbook-Bold" w:cs="CenturySchoolbook-Bold"/>
          <w:b/>
          <w:bCs/>
          <w:color w:val="000000"/>
          <w:lang w:eastAsia="fr-FR"/>
        </w:rPr>
      </w:pPr>
      <w:r>
        <w:rPr>
          <w:rFonts w:ascii="CenturySchoolbook-Bold" w:hAnsi="CenturySchoolbook-Bold" w:cs="CenturySchoolbook-Bold"/>
          <w:b/>
          <w:bCs/>
          <w:color w:val="000000"/>
          <w:lang w:eastAsia="fr-FR"/>
        </w:rPr>
        <w:t>1.3.2.1 Le comportement en fatigue</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 fatigue est un élément important</w:t>
      </w:r>
      <w:r>
        <w:rPr>
          <w:rFonts w:ascii="CenturySchoolbook" w:hAnsi="CenturySchoolbook" w:cs="CenturySchoolbook"/>
          <w:color w:val="000000"/>
          <w:lang w:eastAsia="fr-FR"/>
        </w:rPr>
        <w:t xml:space="preserve"> pour un matériau en vue de son </w:t>
      </w:r>
      <w:r>
        <w:rPr>
          <w:rFonts w:ascii="CenturySchoolbook" w:hAnsi="CenturySchoolbook" w:cs="CenturySchoolbook"/>
          <w:color w:val="000000"/>
          <w:lang w:eastAsia="fr-FR"/>
        </w:rPr>
        <w:t>industrialisation. Le comportement en fatigue a donc été</w:t>
      </w:r>
      <w:r>
        <w:rPr>
          <w:rFonts w:ascii="CenturySchoolbook" w:hAnsi="CenturySchoolbook" w:cs="CenturySchoolbook"/>
          <w:color w:val="000000"/>
          <w:lang w:eastAsia="fr-FR"/>
        </w:rPr>
        <w:t xml:space="preserve"> étudié. Ces propriétés ne sont </w:t>
      </w:r>
      <w:r>
        <w:rPr>
          <w:rFonts w:ascii="CenturySchoolbook" w:hAnsi="CenturySchoolbook" w:cs="CenturySchoolbook"/>
          <w:color w:val="000000"/>
          <w:lang w:eastAsia="fr-FR"/>
        </w:rPr>
        <w:t>pas directement dépendantes de la taille de grains mais pl</w:t>
      </w:r>
      <w:r>
        <w:rPr>
          <w:rFonts w:ascii="CenturySchoolbook" w:hAnsi="CenturySchoolbook" w:cs="CenturySchoolbook"/>
          <w:color w:val="000000"/>
          <w:lang w:eastAsia="fr-FR"/>
        </w:rPr>
        <w:t xml:space="preserve">utôt de la limite élastique, de </w:t>
      </w:r>
      <w:r>
        <w:rPr>
          <w:rFonts w:ascii="CenturySchoolbook" w:hAnsi="CenturySchoolbook" w:cs="CenturySchoolbook"/>
          <w:color w:val="000000"/>
          <w:lang w:eastAsia="fr-FR"/>
        </w:rPr>
        <w:t>la ductilité et de l’homogénéité du matériau.</w:t>
      </w:r>
    </w:p>
    <w:p w:rsidR="00BD1E3D"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 xml:space="preserve">De nombreux travaux ont été réalisés et synthétisés par </w:t>
      </w:r>
      <w:proofErr w:type="spellStart"/>
      <w:r>
        <w:rPr>
          <w:rFonts w:ascii="CenturySchoolbook" w:hAnsi="CenturySchoolbook" w:cs="CenturySchoolbook"/>
          <w:color w:val="000000"/>
          <w:lang w:eastAsia="fr-FR"/>
        </w:rPr>
        <w:t>Mughrabi</w:t>
      </w:r>
      <w:proofErr w:type="spellEnd"/>
      <w:r>
        <w:rPr>
          <w:rFonts w:ascii="CenturySchoolbook" w:hAnsi="CenturySchoolbook" w:cs="CenturySchoolbook"/>
          <w:color w:val="000000"/>
          <w:lang w:eastAsia="fr-FR"/>
        </w:rPr>
        <w:t xml:space="preserve"> (</w:t>
      </w:r>
      <w:r>
        <w:rPr>
          <w:rFonts w:ascii="CenturySchoolbook" w:hAnsi="CenturySchoolbook" w:cs="CenturySchoolbook"/>
          <w:color w:val="0000FF"/>
          <w:lang w:eastAsia="fr-FR"/>
        </w:rPr>
        <w:t>2010</w:t>
      </w:r>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00"/>
          <w:lang w:eastAsia="fr-FR"/>
        </w:rPr>
        <w:t>Mughrabi</w:t>
      </w:r>
      <w:proofErr w:type="spellEnd"/>
      <w:r>
        <w:rPr>
          <w:rFonts w:ascii="CenturySchoolbook" w:hAnsi="CenturySchoolbook" w:cs="CenturySchoolbook"/>
          <w:color w:val="000000"/>
          <w:lang w:eastAsia="fr-FR"/>
        </w:rPr>
        <w:t xml:space="preserve"> </w:t>
      </w:r>
      <w:r>
        <w:rPr>
          <w:rFonts w:ascii="CenturySchoolbook" w:hAnsi="CenturySchoolbook" w:cs="CenturySchoolbook"/>
          <w:color w:val="000000"/>
          <w:lang w:eastAsia="fr-FR"/>
        </w:rPr>
        <w:t xml:space="preserve">&amp; </w:t>
      </w:r>
      <w:proofErr w:type="spellStart"/>
      <w:r>
        <w:rPr>
          <w:rFonts w:ascii="CenturySchoolbook" w:hAnsi="CenturySchoolbook" w:cs="CenturySchoolbook"/>
          <w:color w:val="000000"/>
          <w:lang w:eastAsia="fr-FR"/>
        </w:rPr>
        <w:t>Hoppel</w:t>
      </w:r>
      <w:proofErr w:type="spellEnd"/>
      <w:r>
        <w:rPr>
          <w:rFonts w:ascii="CenturySchoolbook" w:hAnsi="CenturySchoolbook" w:cs="CenturySchoolbook"/>
          <w:color w:val="000000"/>
          <w:lang w:eastAsia="fr-FR"/>
        </w:rPr>
        <w:t xml:space="preserve"> (</w:t>
      </w:r>
      <w:r>
        <w:rPr>
          <w:rFonts w:ascii="CenturySchoolbook" w:hAnsi="CenturySchoolbook" w:cs="CenturySchoolbook"/>
          <w:color w:val="0000FF"/>
          <w:lang w:eastAsia="fr-FR"/>
        </w:rPr>
        <w:t>2010</w:t>
      </w:r>
      <w:r>
        <w:rPr>
          <w:rFonts w:ascii="CenturySchoolbook" w:hAnsi="CenturySchoolbook" w:cs="CenturySchoolbook"/>
          <w:color w:val="000000"/>
          <w:lang w:eastAsia="fr-FR"/>
        </w:rPr>
        <w:t xml:space="preserve">). Ces études concordent avec la littérature </w:t>
      </w:r>
      <w:r>
        <w:rPr>
          <w:rFonts w:ascii="CenturySchoolbook" w:hAnsi="CenturySchoolbook" w:cs="CenturySchoolbook"/>
          <w:color w:val="000000"/>
          <w:lang w:eastAsia="fr-FR"/>
        </w:rPr>
        <w:t xml:space="preserve">sur les facteurs influençant la </w:t>
      </w:r>
      <w:r>
        <w:rPr>
          <w:rFonts w:ascii="CenturySchoolbook" w:hAnsi="CenturySchoolbook" w:cs="CenturySchoolbook"/>
          <w:color w:val="000000"/>
          <w:lang w:eastAsia="fr-FR"/>
        </w:rPr>
        <w:t>fatigue (conjonction de la limite élastique et ductilité). On peut noter que la lim</w:t>
      </w:r>
      <w:r>
        <w:rPr>
          <w:rFonts w:ascii="CenturySchoolbook" w:hAnsi="CenturySchoolbook" w:cs="CenturySchoolbook"/>
          <w:color w:val="000000"/>
          <w:lang w:eastAsia="fr-FR"/>
        </w:rPr>
        <w:t xml:space="preserve">ite </w:t>
      </w:r>
      <w:r>
        <w:rPr>
          <w:rFonts w:ascii="CenturySchoolbook" w:hAnsi="CenturySchoolbook" w:cs="CenturySchoolbook"/>
          <w:color w:val="000000"/>
          <w:lang w:eastAsia="fr-FR"/>
        </w:rPr>
        <w:t xml:space="preserve">d’endurance pour les matériaux </w:t>
      </w:r>
      <w:proofErr w:type="spellStart"/>
      <w:r>
        <w:rPr>
          <w:rFonts w:ascii="CenturySchoolbook" w:hAnsi="CenturySchoolbook" w:cs="CenturySchoolbook"/>
          <w:color w:val="000000"/>
          <w:lang w:eastAsia="fr-FR"/>
        </w:rPr>
        <w:t>nanostructurés</w:t>
      </w:r>
      <w:proofErr w:type="spellEnd"/>
      <w:r>
        <w:rPr>
          <w:rFonts w:ascii="CenturySchoolbook" w:hAnsi="CenturySchoolbook" w:cs="CenturySchoolbook"/>
          <w:color w:val="000000"/>
          <w:lang w:eastAsia="fr-FR"/>
        </w:rPr>
        <w:t xml:space="preserve"> est</w:t>
      </w:r>
      <w:r>
        <w:rPr>
          <w:rFonts w:ascii="CenturySchoolbook" w:hAnsi="CenturySchoolbook" w:cs="CenturySchoolbook"/>
          <w:color w:val="000000"/>
          <w:lang w:eastAsia="fr-FR"/>
        </w:rPr>
        <w:t xml:space="preserve"> plus élevée comme le montre la </w:t>
      </w:r>
      <w:r>
        <w:rPr>
          <w:rFonts w:ascii="CenturySchoolbook" w:hAnsi="CenturySchoolbook" w:cs="CenturySchoolbook"/>
          <w:color w:val="000000"/>
          <w:lang w:eastAsia="fr-FR"/>
        </w:rPr>
        <w:t>figure 1.19. Plus le nombre de passes (taux de déforma</w:t>
      </w:r>
      <w:r>
        <w:rPr>
          <w:rFonts w:ascii="CenturySchoolbook" w:hAnsi="CenturySchoolbook" w:cs="CenturySchoolbook"/>
          <w:color w:val="000000"/>
          <w:lang w:eastAsia="fr-FR"/>
        </w:rPr>
        <w:t xml:space="preserve">tion) à travers ECAE est élevé, </w:t>
      </w:r>
      <w:r>
        <w:rPr>
          <w:rFonts w:ascii="CenturySchoolbook" w:hAnsi="CenturySchoolbook" w:cs="CenturySchoolbook"/>
          <w:color w:val="000000"/>
          <w:lang w:eastAsia="fr-FR"/>
        </w:rPr>
        <w:t>plus l’amplitude de contrainte par rapport au nombre de cycle est importante.</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p>
    <w:p w:rsidR="00B01632" w:rsidRDefault="00B01632" w:rsidP="00B01632">
      <w:pPr>
        <w:autoSpaceDE w:val="0"/>
        <w:autoSpaceDN w:val="0"/>
        <w:adjustRightInd w:val="0"/>
        <w:spacing w:after="0" w:line="240" w:lineRule="auto"/>
        <w:jc w:val="center"/>
        <w:rPr>
          <w:rFonts w:ascii="CenturySchoolbook" w:hAnsi="CenturySchoolbook" w:cs="CenturySchoolbook"/>
          <w:color w:val="000000"/>
          <w:lang w:eastAsia="fr-FR"/>
        </w:rPr>
      </w:pPr>
      <w:r w:rsidRPr="00B01632">
        <w:rPr>
          <w:rFonts w:ascii="CenturySchoolbook" w:hAnsi="CenturySchoolbook" w:cs="CenturySchoolbook"/>
          <w:noProof/>
          <w:color w:val="000000"/>
          <w:lang w:eastAsia="fr-FR"/>
        </w:rPr>
        <w:drawing>
          <wp:inline distT="0" distB="0" distL="0" distR="0">
            <wp:extent cx="4133850" cy="3330216"/>
            <wp:effectExtent l="0" t="0" r="0" b="381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35649" cy="3331665"/>
                    </a:xfrm>
                    <a:prstGeom prst="rect">
                      <a:avLst/>
                    </a:prstGeom>
                    <a:noFill/>
                    <a:ln>
                      <a:noFill/>
                    </a:ln>
                  </pic:spPr>
                </pic:pic>
              </a:graphicData>
            </a:graphic>
          </wp:inline>
        </w:drawing>
      </w:r>
    </w:p>
    <w:p w:rsidR="00B01632" w:rsidRDefault="00B01632" w:rsidP="00B0163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F</w:t>
      </w:r>
      <w:r>
        <w:rPr>
          <w:rFonts w:ascii="CenturySchoolbook" w:hAnsi="CenturySchoolbook" w:cs="CenturySchoolbook"/>
          <w:color w:val="000000"/>
          <w:sz w:val="18"/>
          <w:szCs w:val="18"/>
          <w:lang w:eastAsia="fr-FR"/>
        </w:rPr>
        <w:t>IG</w:t>
      </w:r>
      <w:r>
        <w:rPr>
          <w:rFonts w:ascii="CenturySchoolbook" w:hAnsi="CenturySchoolbook" w:cs="CenturySchoolbook"/>
          <w:color w:val="000000"/>
          <w:lang w:eastAsia="fr-FR"/>
        </w:rPr>
        <w:t xml:space="preserve">. 1.19 – Graphe </w:t>
      </w:r>
      <w:proofErr w:type="spellStart"/>
      <w:r>
        <w:rPr>
          <w:rFonts w:ascii="CenturySchoolbook" w:hAnsi="CenturySchoolbook" w:cs="CenturySchoolbook"/>
          <w:color w:val="000000"/>
          <w:lang w:eastAsia="fr-FR"/>
        </w:rPr>
        <w:t>Wohler</w:t>
      </w:r>
      <w:proofErr w:type="spellEnd"/>
      <w:r>
        <w:rPr>
          <w:rFonts w:ascii="CenturySchoolbook" w:hAnsi="CenturySchoolbook" w:cs="CenturySchoolbook"/>
          <w:color w:val="000000"/>
          <w:lang w:eastAsia="fr-FR"/>
        </w:rPr>
        <w:t xml:space="preserve"> (S-N) des données d’essais de fatigue d’AlMg-0.5 par ECAE</w:t>
      </w:r>
    </w:p>
    <w:p w:rsidR="00B01632" w:rsidRDefault="00B01632" w:rsidP="00B01632">
      <w:pPr>
        <w:autoSpaceDE w:val="0"/>
        <w:autoSpaceDN w:val="0"/>
        <w:adjustRightInd w:val="0"/>
        <w:spacing w:after="0" w:line="240" w:lineRule="auto"/>
        <w:jc w:val="center"/>
        <w:rPr>
          <w:rFonts w:ascii="CenturySchoolbook" w:hAnsi="CenturySchoolbook" w:cs="CenturySchoolbook"/>
          <w:color w:val="000000"/>
          <w:lang w:eastAsia="fr-FR"/>
        </w:rPr>
      </w:pPr>
      <w:r>
        <w:rPr>
          <w:rFonts w:ascii="CenturySchoolbook" w:hAnsi="CenturySchoolbook" w:cs="CenturySchoolbook"/>
          <w:color w:val="000000"/>
          <w:lang w:eastAsia="fr-FR"/>
        </w:rPr>
        <w:t>(</w:t>
      </w:r>
      <w:proofErr w:type="gramStart"/>
      <w:r>
        <w:rPr>
          <w:rFonts w:ascii="CenturySchoolbook" w:hAnsi="CenturySchoolbook" w:cs="CenturySchoolbook"/>
          <w:color w:val="000000"/>
          <w:lang w:eastAsia="fr-FR"/>
        </w:rPr>
        <w:t>route</w:t>
      </w:r>
      <w:proofErr w:type="gramEnd"/>
      <w:r>
        <w:rPr>
          <w:rFonts w:ascii="CenturySchoolbook" w:hAnsi="CenturySchoolbook" w:cs="CenturySchoolbook"/>
          <w:color w:val="000000"/>
          <w:lang w:eastAsia="fr-FR"/>
        </w:rPr>
        <w:t xml:space="preserve"> </w:t>
      </w:r>
      <w:proofErr w:type="spellStart"/>
      <w:r>
        <w:rPr>
          <w:rFonts w:ascii="CenturySchoolbook" w:hAnsi="CenturySchoolbook" w:cs="CenturySchoolbook"/>
          <w:color w:val="000000"/>
          <w:lang w:eastAsia="fr-FR"/>
        </w:rPr>
        <w:t>Bc</w:t>
      </w:r>
      <w:proofErr w:type="spellEnd"/>
      <w:r>
        <w:rPr>
          <w:rFonts w:ascii="CenturySchoolbook" w:hAnsi="CenturySchoolbook" w:cs="CenturySchoolbook"/>
          <w:color w:val="000000"/>
          <w:lang w:eastAsia="fr-FR"/>
        </w:rPr>
        <w:t>) pour différents nombres de passes (</w:t>
      </w:r>
      <w:proofErr w:type="spellStart"/>
      <w:r>
        <w:rPr>
          <w:rFonts w:ascii="CenturySchoolbook" w:hAnsi="CenturySchoolbook" w:cs="CenturySchoolbook"/>
          <w:color w:val="0000FF"/>
          <w:lang w:eastAsia="fr-FR"/>
        </w:rPr>
        <w:t>Mughrabi</w:t>
      </w:r>
      <w:proofErr w:type="spellEnd"/>
      <w:r>
        <w:rPr>
          <w:rFonts w:ascii="CenturySchoolbook" w:hAnsi="CenturySchoolbook" w:cs="CenturySchoolbook"/>
          <w:color w:val="0000FF"/>
          <w:lang w:eastAsia="fr-FR"/>
        </w:rPr>
        <w:t xml:space="preserve"> &amp; </w:t>
      </w:r>
      <w:proofErr w:type="spellStart"/>
      <w:r>
        <w:rPr>
          <w:rFonts w:ascii="CenturySchoolbook" w:hAnsi="CenturySchoolbook" w:cs="CenturySchoolbook"/>
          <w:color w:val="0000FF"/>
          <w:lang w:eastAsia="fr-FR"/>
        </w:rPr>
        <w:t>Hoppel</w:t>
      </w:r>
      <w:proofErr w:type="spellEnd"/>
      <w:r>
        <w:rPr>
          <w:rFonts w:ascii="CenturySchoolbook" w:hAnsi="CenturySchoolbook" w:cs="CenturySchoolbook"/>
          <w:color w:val="0000FF"/>
          <w:lang w:eastAsia="fr-FR"/>
        </w:rPr>
        <w:t>, 2010</w:t>
      </w:r>
      <w:r>
        <w:rPr>
          <w:rFonts w:ascii="CenturySchoolbook" w:hAnsi="CenturySchoolbook" w:cs="CenturySchoolbook"/>
          <w:color w:val="000000"/>
          <w:lang w:eastAsia="fr-FR"/>
        </w:rPr>
        <w:t>).</w:t>
      </w:r>
    </w:p>
    <w:p w:rsidR="00B01632" w:rsidRDefault="00B01632" w:rsidP="00B01632">
      <w:pPr>
        <w:autoSpaceDE w:val="0"/>
        <w:autoSpaceDN w:val="0"/>
        <w:adjustRightInd w:val="0"/>
        <w:spacing w:after="0" w:line="240" w:lineRule="auto"/>
        <w:jc w:val="center"/>
        <w:rPr>
          <w:rFonts w:ascii="CenturySchoolbook" w:hAnsi="CenturySchoolbook" w:cs="CenturySchoolbook"/>
          <w:color w:val="000000"/>
          <w:lang w:eastAsia="fr-FR"/>
        </w:rPr>
      </w:pPr>
    </w:p>
    <w:p w:rsidR="00B01632" w:rsidRDefault="00B01632" w:rsidP="00B01632">
      <w:pPr>
        <w:autoSpaceDE w:val="0"/>
        <w:autoSpaceDN w:val="0"/>
        <w:adjustRightInd w:val="0"/>
        <w:spacing w:after="0" w:line="240" w:lineRule="auto"/>
        <w:rPr>
          <w:rFonts w:ascii="CenturySchoolbook-Bold" w:hAnsi="CenturySchoolbook-Bold" w:cs="CenturySchoolbook-Bold"/>
          <w:b/>
          <w:bCs/>
          <w:color w:val="000000"/>
          <w:lang w:eastAsia="fr-FR"/>
        </w:rPr>
      </w:pPr>
      <w:r>
        <w:rPr>
          <w:rFonts w:ascii="CenturySchoolbook-Bold" w:hAnsi="CenturySchoolbook-Bold" w:cs="CenturySchoolbook-Bold"/>
          <w:b/>
          <w:bCs/>
          <w:color w:val="000000"/>
          <w:lang w:eastAsia="fr-FR"/>
        </w:rPr>
        <w:t>1.3.2.2 La stabilité thermique</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La stabilité thermique de matériaux déformés par ces procédés a été étud</w:t>
      </w:r>
      <w:r>
        <w:rPr>
          <w:rFonts w:ascii="CenturySchoolbook" w:hAnsi="CenturySchoolbook" w:cs="CenturySchoolbook"/>
          <w:color w:val="000000"/>
          <w:lang w:eastAsia="fr-FR"/>
        </w:rPr>
        <w:t xml:space="preserve">iée dans </w:t>
      </w:r>
      <w:r>
        <w:rPr>
          <w:rFonts w:ascii="CenturySchoolbook" w:hAnsi="CenturySchoolbook" w:cs="CenturySchoolbook"/>
          <w:color w:val="000000"/>
          <w:lang w:eastAsia="fr-FR"/>
        </w:rPr>
        <w:t>divers travaux pour quantifier cette observation. En effet, l’</w:t>
      </w:r>
      <w:r>
        <w:rPr>
          <w:rFonts w:ascii="CenturySchoolbook" w:hAnsi="CenturySchoolbook" w:cs="CenturySchoolbook"/>
          <w:color w:val="000000"/>
          <w:lang w:eastAsia="fr-FR"/>
        </w:rPr>
        <w:t xml:space="preserve">accumulation très </w:t>
      </w:r>
      <w:r>
        <w:rPr>
          <w:rFonts w:ascii="CenturySchoolbook" w:hAnsi="CenturySchoolbook" w:cs="CenturySchoolbook"/>
          <w:color w:val="000000"/>
          <w:lang w:eastAsia="fr-FR"/>
        </w:rPr>
        <w:t>importante des dislocations entraine une tendance au m</w:t>
      </w:r>
      <w:r>
        <w:rPr>
          <w:rFonts w:ascii="CenturySchoolbook" w:hAnsi="CenturySchoolbook" w:cs="CenturySchoolbook"/>
          <w:color w:val="000000"/>
          <w:lang w:eastAsia="fr-FR"/>
        </w:rPr>
        <w:t xml:space="preserve">atériau à vouloir recouvrir son </w:t>
      </w:r>
      <w:r>
        <w:rPr>
          <w:rFonts w:ascii="CenturySchoolbook" w:hAnsi="CenturySchoolbook" w:cs="CenturySchoolbook"/>
          <w:color w:val="000000"/>
          <w:lang w:eastAsia="fr-FR"/>
        </w:rPr>
        <w:t>état pour se stabiliser (</w:t>
      </w:r>
      <w:r>
        <w:rPr>
          <w:rFonts w:ascii="CenturySchoolbook" w:hAnsi="CenturySchoolbook" w:cs="CenturySchoolbook"/>
          <w:color w:val="0000FF"/>
          <w:lang w:eastAsia="fr-FR"/>
        </w:rPr>
        <w:t xml:space="preserve">Vinogradov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2002</w:t>
      </w:r>
      <w:r>
        <w:rPr>
          <w:rFonts w:ascii="CenturySchoolbook" w:hAnsi="CenturySchoolbook" w:cs="CenturySchoolbook"/>
          <w:color w:val="000000"/>
          <w:lang w:eastAsia="fr-FR"/>
        </w:rPr>
        <w:t>). Ces ob</w:t>
      </w:r>
      <w:r>
        <w:rPr>
          <w:rFonts w:ascii="CenturySchoolbook" w:hAnsi="CenturySchoolbook" w:cs="CenturySchoolbook"/>
          <w:color w:val="000000"/>
          <w:lang w:eastAsia="fr-FR"/>
        </w:rPr>
        <w:t xml:space="preserve">servations ont pu être mises </w:t>
      </w:r>
      <w:proofErr w:type="spellStart"/>
      <w:r>
        <w:rPr>
          <w:rFonts w:ascii="CenturySchoolbook" w:hAnsi="CenturySchoolbook" w:cs="CenturySchoolbook"/>
          <w:color w:val="000000"/>
          <w:lang w:eastAsia="fr-FR"/>
        </w:rPr>
        <w:t>enn</w:t>
      </w:r>
      <w:r>
        <w:rPr>
          <w:rFonts w:ascii="CenturySchoolbook" w:hAnsi="CenturySchoolbook" w:cs="CenturySchoolbook"/>
          <w:color w:val="000000"/>
          <w:lang w:eastAsia="fr-FR"/>
        </w:rPr>
        <w:t>évidence</w:t>
      </w:r>
      <w:proofErr w:type="spellEnd"/>
      <w:r>
        <w:rPr>
          <w:rFonts w:ascii="CenturySchoolbook" w:hAnsi="CenturySchoolbook" w:cs="CenturySchoolbook"/>
          <w:color w:val="000000"/>
          <w:lang w:eastAsia="fr-FR"/>
        </w:rPr>
        <w:t xml:space="preserve"> par </w:t>
      </w:r>
      <w:proofErr w:type="spellStart"/>
      <w:r>
        <w:rPr>
          <w:rFonts w:ascii="CenturySchoolbook" w:hAnsi="CenturySchoolbook" w:cs="CenturySchoolbook"/>
          <w:color w:val="000000"/>
          <w:lang w:eastAsia="fr-FR"/>
        </w:rPr>
        <w:t>Islamgaliev</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et al</w:t>
      </w:r>
      <w:r>
        <w:rPr>
          <w:rFonts w:ascii="CenturySchoolbook" w:hAnsi="CenturySchoolbook" w:cs="CenturySchoolbook"/>
          <w:color w:val="000000"/>
          <w:lang w:eastAsia="fr-FR"/>
        </w:rPr>
        <w:t>. (</w:t>
      </w:r>
      <w:r>
        <w:rPr>
          <w:rFonts w:ascii="CenturySchoolbook" w:hAnsi="CenturySchoolbook" w:cs="CenturySchoolbook"/>
          <w:color w:val="0000FF"/>
          <w:lang w:eastAsia="fr-FR"/>
        </w:rPr>
        <w:t>1997 - 1997</w:t>
      </w:r>
      <w:r>
        <w:rPr>
          <w:rFonts w:ascii="CenturySchoolbook" w:hAnsi="CenturySchoolbook" w:cs="CenturySchoolbook"/>
          <w:color w:val="000000"/>
          <w:lang w:eastAsia="fr-FR"/>
        </w:rPr>
        <w:t xml:space="preserve">) et </w:t>
      </w:r>
      <w:proofErr w:type="spellStart"/>
      <w:r>
        <w:rPr>
          <w:rFonts w:ascii="CenturySchoolbook" w:hAnsi="CenturySchoolbook" w:cs="CenturySchoolbook"/>
          <w:color w:val="000000"/>
          <w:lang w:eastAsia="fr-FR"/>
        </w:rPr>
        <w:t>Molodova</w:t>
      </w:r>
      <w:proofErr w:type="spellEnd"/>
      <w:r>
        <w:rPr>
          <w:rFonts w:ascii="CenturySchoolbook" w:hAnsi="CenturySchoolbook" w:cs="CenturySchoolbook"/>
          <w:color w:val="000000"/>
          <w:lang w:eastAsia="fr-FR"/>
        </w:rPr>
        <w:t xml:space="preserve"> </w:t>
      </w:r>
      <w:r>
        <w:rPr>
          <w:rFonts w:ascii="CenturySchoolbook-Italic" w:hAnsi="CenturySchoolbook-Italic" w:cs="CenturySchoolbook-Italic"/>
          <w:i/>
          <w:iCs/>
          <w:color w:val="000000"/>
          <w:lang w:eastAsia="fr-FR"/>
        </w:rPr>
        <w:t xml:space="preserve">et al. </w:t>
      </w:r>
      <w:r>
        <w:rPr>
          <w:rFonts w:ascii="CenturySchoolbook" w:hAnsi="CenturySchoolbook" w:cs="CenturySchoolbook"/>
          <w:color w:val="000000"/>
          <w:lang w:eastAsia="fr-FR"/>
        </w:rPr>
        <w:t>(</w:t>
      </w:r>
      <w:r>
        <w:rPr>
          <w:rFonts w:ascii="CenturySchoolbook" w:hAnsi="CenturySchoolbook" w:cs="CenturySchoolbook"/>
          <w:color w:val="0000FF"/>
          <w:lang w:eastAsia="fr-FR"/>
        </w:rPr>
        <w:t>2007</w:t>
      </w:r>
      <w:r>
        <w:rPr>
          <w:rFonts w:ascii="CenturySchoolbook" w:hAnsi="CenturySchoolbook" w:cs="CenturySchoolbook"/>
          <w:color w:val="000000"/>
          <w:lang w:eastAsia="fr-FR"/>
        </w:rPr>
        <w:t xml:space="preserve">) sur du cuivre </w:t>
      </w:r>
      <w:r>
        <w:rPr>
          <w:rFonts w:ascii="CenturySchoolbook" w:hAnsi="CenturySchoolbook" w:cs="CenturySchoolbook"/>
          <w:color w:val="000000"/>
          <w:lang w:eastAsia="fr-FR"/>
        </w:rPr>
        <w:t>déformé par ECAE. Cette tendance s’accroit avec l’augmentation de la déformation.</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Plusieurs méthodes ont été étudiées pour améliore</w:t>
      </w:r>
      <w:r>
        <w:rPr>
          <w:rFonts w:ascii="CenturySchoolbook" w:hAnsi="CenturySchoolbook" w:cs="CenturySchoolbook"/>
          <w:color w:val="000000"/>
          <w:lang w:eastAsia="fr-FR"/>
        </w:rPr>
        <w:t xml:space="preserve">r la stabilité thermique de ces </w:t>
      </w:r>
      <w:r>
        <w:rPr>
          <w:rFonts w:ascii="CenturySchoolbook" w:hAnsi="CenturySchoolbook" w:cs="CenturySchoolbook"/>
          <w:color w:val="000000"/>
          <w:lang w:eastAsia="fr-FR"/>
        </w:rPr>
        <w:t>matériaux comme par exemple :</w:t>
      </w:r>
    </w:p>
    <w:p w:rsidR="00B01632" w:rsidRPr="00B01632" w:rsidRDefault="00B01632" w:rsidP="00B01632">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B01632">
        <w:rPr>
          <w:rFonts w:ascii="SymbolMT" w:eastAsia="SymbolMT" w:hAnsi="CenturySchoolbook" w:cs="SymbolMT"/>
          <w:color w:val="000000"/>
          <w:lang w:eastAsia="fr-FR"/>
        </w:rPr>
        <w:t xml:space="preserve"> </w:t>
      </w:r>
      <w:r w:rsidRPr="00B01632">
        <w:rPr>
          <w:rFonts w:ascii="CenturySchoolbook" w:hAnsi="CenturySchoolbook" w:cs="CenturySchoolbook"/>
          <w:color w:val="000000"/>
          <w:lang w:eastAsia="fr-FR"/>
        </w:rPr>
        <w:t>la possibilité de restaurer le matériau sans le recristalliser pour équilibrer les</w:t>
      </w:r>
    </w:p>
    <w:p w:rsidR="00B01632" w:rsidRDefault="00B01632" w:rsidP="00B01632">
      <w:pPr>
        <w:autoSpaceDE w:val="0"/>
        <w:autoSpaceDN w:val="0"/>
        <w:adjustRightInd w:val="0"/>
        <w:spacing w:after="0" w:line="240" w:lineRule="auto"/>
        <w:rPr>
          <w:rFonts w:ascii="CenturySchoolbook" w:hAnsi="CenturySchoolbook" w:cs="CenturySchoolbook"/>
          <w:color w:val="0000FF"/>
          <w:lang w:eastAsia="fr-FR"/>
        </w:rPr>
      </w:pPr>
      <w:r>
        <w:rPr>
          <w:rFonts w:ascii="CenturySchoolbook" w:hAnsi="CenturySchoolbook" w:cs="CenturySchoolbook"/>
          <w:color w:val="000000"/>
          <w:lang w:eastAsia="fr-FR"/>
        </w:rPr>
        <w:t>contraintes internes et lui redonner de l’écrouissage (</w:t>
      </w:r>
      <w:proofErr w:type="spellStart"/>
      <w:r>
        <w:rPr>
          <w:rFonts w:ascii="CenturySchoolbook" w:hAnsi="CenturySchoolbook" w:cs="CenturySchoolbook"/>
          <w:color w:val="0000FF"/>
          <w:lang w:eastAsia="fr-FR"/>
        </w:rPr>
        <w:t>Mughrabi</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2003 -</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proofErr w:type="spellStart"/>
      <w:r>
        <w:rPr>
          <w:rFonts w:ascii="CenturySchoolbook" w:hAnsi="CenturySchoolbook" w:cs="CenturySchoolbook"/>
          <w:color w:val="0000FF"/>
          <w:lang w:eastAsia="fr-FR"/>
        </w:rPr>
        <w:t>Patlan</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2001 - Park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2000</w:t>
      </w:r>
      <w:r>
        <w:rPr>
          <w:rFonts w:ascii="CenturySchoolbook" w:hAnsi="CenturySchoolbook" w:cs="CenturySchoolbook"/>
          <w:color w:val="000000"/>
          <w:lang w:eastAsia="fr-FR"/>
        </w:rPr>
        <w:t>),</w:t>
      </w:r>
    </w:p>
    <w:p w:rsidR="00B01632" w:rsidRPr="00B01632" w:rsidRDefault="00B01632" w:rsidP="00B01632">
      <w:pPr>
        <w:pStyle w:val="Paragraphedeliste"/>
        <w:numPr>
          <w:ilvl w:val="0"/>
          <w:numId w:val="2"/>
        </w:numPr>
        <w:autoSpaceDE w:val="0"/>
        <w:autoSpaceDN w:val="0"/>
        <w:adjustRightInd w:val="0"/>
        <w:spacing w:after="0" w:line="240" w:lineRule="auto"/>
        <w:rPr>
          <w:rFonts w:ascii="CenturySchoolbook" w:hAnsi="CenturySchoolbook" w:cs="CenturySchoolbook"/>
          <w:color w:val="0000FF"/>
          <w:lang w:eastAsia="fr-FR"/>
        </w:rPr>
      </w:pPr>
      <w:r w:rsidRPr="00B01632">
        <w:rPr>
          <w:rFonts w:ascii="CenturySchoolbook" w:hAnsi="CenturySchoolbook" w:cs="CenturySchoolbook"/>
          <w:color w:val="000000"/>
          <w:lang w:eastAsia="fr-FR"/>
        </w:rPr>
        <w:t>la stabilité induite par des particules (</w:t>
      </w:r>
      <w:r w:rsidRPr="00B01632">
        <w:rPr>
          <w:rFonts w:ascii="CenturySchoolbook" w:hAnsi="CenturySchoolbook" w:cs="CenturySchoolbook"/>
          <w:color w:val="0000FF"/>
          <w:lang w:eastAsia="fr-FR"/>
        </w:rPr>
        <w:t xml:space="preserve">Suzuki </w:t>
      </w:r>
      <w:r w:rsidRPr="00B01632">
        <w:rPr>
          <w:rFonts w:ascii="CenturySchoolbook-Italic" w:hAnsi="CenturySchoolbook-Italic" w:cs="CenturySchoolbook-Italic"/>
          <w:i/>
          <w:iCs/>
          <w:color w:val="0000FF"/>
          <w:lang w:eastAsia="fr-FR"/>
        </w:rPr>
        <w:t xml:space="preserve">et </w:t>
      </w:r>
      <w:proofErr w:type="gramStart"/>
      <w:r w:rsidRPr="00B01632">
        <w:rPr>
          <w:rFonts w:ascii="CenturySchoolbook-Italic" w:hAnsi="CenturySchoolbook-Italic" w:cs="CenturySchoolbook-Italic"/>
          <w:i/>
          <w:iCs/>
          <w:color w:val="0000FF"/>
          <w:lang w:eastAsia="fr-FR"/>
        </w:rPr>
        <w:t>al.</w:t>
      </w:r>
      <w:r w:rsidRPr="00B01632">
        <w:rPr>
          <w:rFonts w:ascii="CenturySchoolbook" w:hAnsi="CenturySchoolbook" w:cs="CenturySchoolbook"/>
          <w:color w:val="0000FF"/>
          <w:lang w:eastAsia="fr-FR"/>
        </w:rPr>
        <w:t>,</w:t>
      </w:r>
      <w:proofErr w:type="gramEnd"/>
      <w:r w:rsidRPr="00B01632">
        <w:rPr>
          <w:rFonts w:ascii="CenturySchoolbook" w:hAnsi="CenturySchoolbook" w:cs="CenturySchoolbook"/>
          <w:color w:val="0000FF"/>
          <w:lang w:eastAsia="fr-FR"/>
        </w:rPr>
        <w:t xml:space="preserve"> 2004 - Vinogradov </w:t>
      </w:r>
      <w:r w:rsidRPr="00B01632">
        <w:rPr>
          <w:rFonts w:ascii="CenturySchoolbook-Italic" w:hAnsi="CenturySchoolbook-Italic" w:cs="CenturySchoolbook-Italic"/>
          <w:i/>
          <w:iCs/>
          <w:color w:val="0000FF"/>
          <w:lang w:eastAsia="fr-FR"/>
        </w:rPr>
        <w:t>et al.</w:t>
      </w:r>
      <w:r w:rsidRPr="00B01632">
        <w:rPr>
          <w:rFonts w:ascii="CenturySchoolbook" w:hAnsi="CenturySchoolbook" w:cs="CenturySchoolbook"/>
          <w:color w:val="0000FF"/>
          <w:lang w:eastAsia="fr-FR"/>
        </w:rPr>
        <w:t>,</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lastRenderedPageBreak/>
        <w:t xml:space="preserve">2003 - Zhao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2006</w:t>
      </w:r>
      <w:r>
        <w:rPr>
          <w:rFonts w:ascii="CenturySchoolbook" w:hAnsi="CenturySchoolbook" w:cs="CenturySchoolbook"/>
          <w:color w:val="000000"/>
          <w:lang w:eastAsia="fr-FR"/>
        </w:rPr>
        <w:t>).</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De nombreuses autres propriétés sont affectées par ces procédés d’</w:t>
      </w:r>
      <w:proofErr w:type="spellStart"/>
      <w:r>
        <w:rPr>
          <w:rFonts w:ascii="CenturySchoolbook" w:hAnsi="CenturySchoolbook" w:cs="CenturySchoolbook"/>
          <w:color w:val="000000"/>
          <w:lang w:eastAsia="fr-FR"/>
        </w:rPr>
        <w:t>hyperdéformations</w:t>
      </w:r>
      <w:proofErr w:type="spellEnd"/>
      <w:r>
        <w:rPr>
          <w:rFonts w:ascii="CenturySchoolbook" w:hAnsi="CenturySchoolbook" w:cs="CenturySchoolbook"/>
          <w:color w:val="000000"/>
          <w:lang w:eastAsia="fr-FR"/>
        </w:rPr>
        <w:t>.</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00"/>
          <w:lang w:eastAsia="fr-FR"/>
        </w:rPr>
        <w:t>On peut noter :</w:t>
      </w:r>
    </w:p>
    <w:p w:rsidR="00B01632" w:rsidRPr="00B01632" w:rsidRDefault="00B01632" w:rsidP="00B01632">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B01632">
        <w:rPr>
          <w:rFonts w:ascii="SymbolMT" w:eastAsia="SymbolMT" w:hAnsi="CenturySchoolbook" w:cs="SymbolMT"/>
          <w:color w:val="000000"/>
          <w:lang w:eastAsia="fr-FR"/>
        </w:rPr>
        <w:t xml:space="preserve"> </w:t>
      </w:r>
      <w:r w:rsidRPr="00B01632">
        <w:rPr>
          <w:rFonts w:ascii="CenturySchoolbook" w:hAnsi="CenturySchoolbook" w:cs="CenturySchoolbook"/>
          <w:color w:val="000000"/>
          <w:lang w:eastAsia="fr-FR"/>
        </w:rPr>
        <w:t>le fluage (</w:t>
      </w:r>
      <w:proofErr w:type="spellStart"/>
      <w:r w:rsidRPr="00B01632">
        <w:rPr>
          <w:rFonts w:ascii="CenturySchoolbook" w:hAnsi="CenturySchoolbook" w:cs="CenturySchoolbook"/>
          <w:color w:val="0000FF"/>
          <w:lang w:eastAsia="fr-FR"/>
        </w:rPr>
        <w:t>Saxl</w:t>
      </w:r>
      <w:proofErr w:type="spellEnd"/>
      <w:r w:rsidRPr="00B01632">
        <w:rPr>
          <w:rFonts w:ascii="CenturySchoolbook" w:hAnsi="CenturySchoolbook" w:cs="CenturySchoolbook"/>
          <w:color w:val="0000FF"/>
          <w:lang w:eastAsia="fr-FR"/>
        </w:rPr>
        <w:t xml:space="preserve"> </w:t>
      </w:r>
      <w:r w:rsidRPr="00B01632">
        <w:rPr>
          <w:rFonts w:ascii="CenturySchoolbook-Italic" w:hAnsi="CenturySchoolbook-Italic" w:cs="CenturySchoolbook-Italic"/>
          <w:i/>
          <w:iCs/>
          <w:color w:val="0000FF"/>
          <w:lang w:eastAsia="fr-FR"/>
        </w:rPr>
        <w:t xml:space="preserve">et </w:t>
      </w:r>
      <w:proofErr w:type="gramStart"/>
      <w:r w:rsidRPr="00B01632">
        <w:rPr>
          <w:rFonts w:ascii="CenturySchoolbook-Italic" w:hAnsi="CenturySchoolbook-Italic" w:cs="CenturySchoolbook-Italic"/>
          <w:i/>
          <w:iCs/>
          <w:color w:val="0000FF"/>
          <w:lang w:eastAsia="fr-FR"/>
        </w:rPr>
        <w:t>al.</w:t>
      </w:r>
      <w:r w:rsidRPr="00B01632">
        <w:rPr>
          <w:rFonts w:ascii="CenturySchoolbook" w:hAnsi="CenturySchoolbook" w:cs="CenturySchoolbook"/>
          <w:color w:val="0000FF"/>
          <w:lang w:eastAsia="fr-FR"/>
        </w:rPr>
        <w:t>,</w:t>
      </w:r>
      <w:proofErr w:type="gramEnd"/>
      <w:r w:rsidRPr="00B01632">
        <w:rPr>
          <w:rFonts w:ascii="CenturySchoolbook" w:hAnsi="CenturySchoolbook" w:cs="CenturySchoolbook"/>
          <w:color w:val="0000FF"/>
          <w:lang w:eastAsia="fr-FR"/>
        </w:rPr>
        <w:t xml:space="preserve"> 2009 - </w:t>
      </w:r>
      <w:proofErr w:type="spellStart"/>
      <w:r w:rsidRPr="00B01632">
        <w:rPr>
          <w:rFonts w:ascii="CenturySchoolbook" w:hAnsi="CenturySchoolbook" w:cs="CenturySchoolbook"/>
          <w:color w:val="0000FF"/>
          <w:lang w:eastAsia="fr-FR"/>
        </w:rPr>
        <w:t>Saxl</w:t>
      </w:r>
      <w:proofErr w:type="spellEnd"/>
      <w:r w:rsidRPr="00B01632">
        <w:rPr>
          <w:rFonts w:ascii="CenturySchoolbook" w:hAnsi="CenturySchoolbook" w:cs="CenturySchoolbook"/>
          <w:color w:val="0000FF"/>
          <w:lang w:eastAsia="fr-FR"/>
        </w:rPr>
        <w:t xml:space="preserve"> </w:t>
      </w:r>
      <w:r w:rsidRPr="00B01632">
        <w:rPr>
          <w:rFonts w:ascii="CenturySchoolbook-Italic" w:hAnsi="CenturySchoolbook-Italic" w:cs="CenturySchoolbook-Italic"/>
          <w:i/>
          <w:iCs/>
          <w:color w:val="0000FF"/>
          <w:lang w:eastAsia="fr-FR"/>
        </w:rPr>
        <w:t>et al.</w:t>
      </w:r>
      <w:r w:rsidRPr="00B01632">
        <w:rPr>
          <w:rFonts w:ascii="CenturySchoolbook" w:hAnsi="CenturySchoolbook" w:cs="CenturySchoolbook"/>
          <w:color w:val="0000FF"/>
          <w:lang w:eastAsia="fr-FR"/>
        </w:rPr>
        <w:t xml:space="preserve">, 2010 - </w:t>
      </w:r>
      <w:proofErr w:type="spellStart"/>
      <w:r w:rsidRPr="00B01632">
        <w:rPr>
          <w:rFonts w:ascii="CenturySchoolbook" w:hAnsi="CenturySchoolbook" w:cs="CenturySchoolbook"/>
          <w:color w:val="0000FF"/>
          <w:lang w:eastAsia="fr-FR"/>
        </w:rPr>
        <w:t>Skleni</w:t>
      </w:r>
      <w:r w:rsidRPr="00B01632">
        <w:rPr>
          <w:rFonts w:cs="Calibri"/>
          <w:color w:val="0000FF"/>
          <w:lang w:eastAsia="fr-FR"/>
        </w:rPr>
        <w:t>č</w:t>
      </w:r>
      <w:r w:rsidRPr="00B01632">
        <w:rPr>
          <w:rFonts w:ascii="CenturySchoolbook" w:hAnsi="CenturySchoolbook" w:cs="CenturySchoolbook"/>
          <w:color w:val="0000FF"/>
          <w:lang w:eastAsia="fr-FR"/>
        </w:rPr>
        <w:t>ka</w:t>
      </w:r>
      <w:proofErr w:type="spellEnd"/>
      <w:r w:rsidRPr="00B01632">
        <w:rPr>
          <w:rFonts w:ascii="CenturySchoolbook" w:hAnsi="CenturySchoolbook" w:cs="CenturySchoolbook"/>
          <w:color w:val="0000FF"/>
          <w:lang w:eastAsia="fr-FR"/>
        </w:rPr>
        <w:t xml:space="preserve"> </w:t>
      </w:r>
      <w:r w:rsidRPr="00B01632">
        <w:rPr>
          <w:rFonts w:ascii="CenturySchoolbook-Italic" w:hAnsi="CenturySchoolbook-Italic" w:cs="CenturySchoolbook-Italic"/>
          <w:i/>
          <w:iCs/>
          <w:color w:val="0000FF"/>
          <w:lang w:eastAsia="fr-FR"/>
        </w:rPr>
        <w:t>et al.</w:t>
      </w:r>
      <w:r w:rsidRPr="00B01632">
        <w:rPr>
          <w:rFonts w:ascii="CenturySchoolbook" w:hAnsi="CenturySchoolbook" w:cs="CenturySchoolbook"/>
          <w:color w:val="0000FF"/>
          <w:lang w:eastAsia="fr-FR"/>
        </w:rPr>
        <w:t>, 2009</w:t>
      </w:r>
      <w:r w:rsidRPr="00B01632">
        <w:rPr>
          <w:rFonts w:ascii="CenturySchoolbook" w:hAnsi="CenturySchoolbook" w:cs="CenturySchoolbook"/>
          <w:color w:val="000000"/>
          <w:lang w:eastAsia="fr-FR"/>
        </w:rPr>
        <w:t>),</w:t>
      </w:r>
    </w:p>
    <w:p w:rsidR="00B01632" w:rsidRDefault="00B01632" w:rsidP="00B01632">
      <w:pPr>
        <w:autoSpaceDE w:val="0"/>
        <w:autoSpaceDN w:val="0"/>
        <w:adjustRightInd w:val="0"/>
        <w:spacing w:after="0" w:line="240" w:lineRule="auto"/>
        <w:rPr>
          <w:rFonts w:ascii="CenturySchoolbook" w:hAnsi="CenturySchoolbook" w:cs="CenturySchoolbook"/>
          <w:color w:val="0000FF"/>
          <w:lang w:eastAsia="fr-FR"/>
        </w:rPr>
      </w:pPr>
      <w:r>
        <w:rPr>
          <w:rFonts w:ascii="SymbolMT" w:eastAsia="SymbolMT" w:hAnsi="CenturySchoolbook" w:cs="SymbolMT"/>
          <w:color w:val="000000"/>
          <w:lang w:eastAsia="fr-FR"/>
        </w:rPr>
        <w:t xml:space="preserve">- </w:t>
      </w:r>
      <w:r>
        <w:rPr>
          <w:rFonts w:ascii="SymbolMT" w:eastAsia="SymbolMT" w:hAnsi="CenturySchoolbook" w:cs="SymbolMT"/>
          <w:color w:val="000000"/>
          <w:lang w:eastAsia="fr-FR"/>
        </w:rPr>
        <w:t xml:space="preserve"> </w:t>
      </w:r>
      <w:r>
        <w:rPr>
          <w:rFonts w:ascii="CenturySchoolbook" w:hAnsi="CenturySchoolbook" w:cs="CenturySchoolbook"/>
          <w:color w:val="000000"/>
          <w:lang w:eastAsia="fr-FR"/>
        </w:rPr>
        <w:t>la conductivité thermique et électrique (</w:t>
      </w:r>
      <w:proofErr w:type="spellStart"/>
      <w:r>
        <w:rPr>
          <w:rFonts w:ascii="CenturySchoolbook" w:hAnsi="CenturySchoolbook" w:cs="CenturySchoolbook"/>
          <w:color w:val="0000FF"/>
          <w:lang w:eastAsia="fr-FR"/>
        </w:rPr>
        <w:t>Gendelman</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2006 - Wei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 w:hAnsi="CenturySchoolbook" w:cs="CenturySchoolbook"/>
          <w:color w:val="0000FF"/>
          <w:lang w:eastAsia="fr-FR"/>
        </w:rPr>
        <w:t>2011</w:t>
      </w:r>
      <w:r>
        <w:rPr>
          <w:rFonts w:ascii="CenturySchoolbook" w:hAnsi="CenturySchoolbook" w:cs="CenturySchoolbook"/>
          <w:color w:val="000000"/>
          <w:lang w:eastAsia="fr-FR"/>
        </w:rPr>
        <w:t>),</w:t>
      </w:r>
    </w:p>
    <w:p w:rsidR="00B01632" w:rsidRDefault="00B01632" w:rsidP="00B01632">
      <w:pPr>
        <w:autoSpaceDE w:val="0"/>
        <w:autoSpaceDN w:val="0"/>
        <w:adjustRightInd w:val="0"/>
        <w:spacing w:after="0" w:line="240" w:lineRule="auto"/>
        <w:rPr>
          <w:rFonts w:ascii="CenturySchoolbook-Italic" w:hAnsi="CenturySchoolbook-Italic" w:cs="CenturySchoolbook-Italic"/>
          <w:i/>
          <w:iCs/>
          <w:color w:val="0000FF"/>
          <w:lang w:eastAsia="fr-FR"/>
        </w:rPr>
      </w:pPr>
      <w:r>
        <w:rPr>
          <w:rFonts w:ascii="SymbolMT" w:eastAsia="SymbolMT" w:hAnsi="CenturySchoolbook" w:cs="SymbolMT"/>
          <w:color w:val="000000"/>
          <w:lang w:eastAsia="fr-FR"/>
        </w:rPr>
        <w:t xml:space="preserve">- </w:t>
      </w:r>
      <w:r>
        <w:rPr>
          <w:rFonts w:ascii="CenturySchoolbook" w:hAnsi="CenturySchoolbook" w:cs="CenturySchoolbook"/>
          <w:color w:val="000000"/>
          <w:lang w:eastAsia="fr-FR"/>
        </w:rPr>
        <w:t>la résistance à la corrosion (</w:t>
      </w:r>
      <w:proofErr w:type="spellStart"/>
      <w:r>
        <w:rPr>
          <w:rFonts w:ascii="CenturySchoolbook" w:hAnsi="CenturySchoolbook" w:cs="CenturySchoolbook"/>
          <w:color w:val="0000FF"/>
          <w:lang w:eastAsia="fr-FR"/>
        </w:rPr>
        <w:t>Hadzima</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2006 - </w:t>
      </w:r>
      <w:proofErr w:type="spellStart"/>
      <w:r>
        <w:rPr>
          <w:rFonts w:ascii="CenturySchoolbook" w:hAnsi="CenturySchoolbook" w:cs="CenturySchoolbook"/>
          <w:color w:val="0000FF"/>
          <w:lang w:eastAsia="fr-FR"/>
        </w:rPr>
        <w:t>Janecek</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et al.</w:t>
      </w:r>
      <w:r>
        <w:rPr>
          <w:rFonts w:ascii="CenturySchoolbook" w:hAnsi="CenturySchoolbook" w:cs="CenturySchoolbook"/>
          <w:color w:val="0000FF"/>
          <w:lang w:eastAsia="fr-FR"/>
        </w:rPr>
        <w:t xml:space="preserve">, 2005 - Son </w:t>
      </w:r>
      <w:r>
        <w:rPr>
          <w:rFonts w:ascii="CenturySchoolbook-Italic" w:hAnsi="CenturySchoolbook-Italic" w:cs="CenturySchoolbook-Italic"/>
          <w:i/>
          <w:iCs/>
          <w:color w:val="0000FF"/>
          <w:lang w:eastAsia="fr-FR"/>
        </w:rPr>
        <w:t>et</w:t>
      </w:r>
    </w:p>
    <w:p w:rsidR="00B01632" w:rsidRDefault="00B01632" w:rsidP="00B01632">
      <w:pPr>
        <w:autoSpaceDE w:val="0"/>
        <w:autoSpaceDN w:val="0"/>
        <w:adjustRightInd w:val="0"/>
        <w:spacing w:after="0" w:line="240" w:lineRule="auto"/>
        <w:rPr>
          <w:rFonts w:ascii="CenturySchoolbook" w:hAnsi="CenturySchoolbook" w:cs="CenturySchoolbook"/>
          <w:color w:val="000000"/>
          <w:lang w:eastAsia="fr-FR"/>
        </w:rPr>
      </w:pPr>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 xml:space="preserve">, 2006 - </w:t>
      </w:r>
      <w:proofErr w:type="spellStart"/>
      <w:r>
        <w:rPr>
          <w:rFonts w:ascii="CenturySchoolbook" w:hAnsi="CenturySchoolbook" w:cs="CenturySchoolbook"/>
          <w:color w:val="0000FF"/>
          <w:lang w:eastAsia="fr-FR"/>
        </w:rPr>
        <w:t>Balyanov</w:t>
      </w:r>
      <w:proofErr w:type="spellEnd"/>
      <w:r>
        <w:rPr>
          <w:rFonts w:ascii="CenturySchoolbook" w:hAnsi="CenturySchoolbook" w:cs="CenturySchoolbook"/>
          <w:color w:val="0000FF"/>
          <w:lang w:eastAsia="fr-FR"/>
        </w:rPr>
        <w:t xml:space="preserve"> </w:t>
      </w:r>
      <w:r>
        <w:rPr>
          <w:rFonts w:ascii="CenturySchoolbook-Italic" w:hAnsi="CenturySchoolbook-Italic" w:cs="CenturySchoolbook-Italic"/>
          <w:i/>
          <w:iCs/>
          <w:color w:val="0000FF"/>
          <w:lang w:eastAsia="fr-FR"/>
        </w:rPr>
        <w:t xml:space="preserve">et </w:t>
      </w:r>
      <w:proofErr w:type="gramStart"/>
      <w:r>
        <w:rPr>
          <w:rFonts w:ascii="CenturySchoolbook-Italic" w:hAnsi="CenturySchoolbook-Italic" w:cs="CenturySchoolbook-Italic"/>
          <w:i/>
          <w:iCs/>
          <w:color w:val="0000FF"/>
          <w:lang w:eastAsia="fr-FR"/>
        </w:rPr>
        <w:t>al.</w:t>
      </w:r>
      <w:r>
        <w:rPr>
          <w:rFonts w:ascii="CenturySchoolbook" w:hAnsi="CenturySchoolbook" w:cs="CenturySchoolbook"/>
          <w:color w:val="0000FF"/>
          <w:lang w:eastAsia="fr-FR"/>
        </w:rPr>
        <w:t>,</w:t>
      </w:r>
      <w:proofErr w:type="gramEnd"/>
      <w:r>
        <w:rPr>
          <w:rFonts w:ascii="CenturySchoolbook" w:hAnsi="CenturySchoolbook" w:cs="CenturySchoolbook"/>
          <w:color w:val="0000FF"/>
          <w:lang w:eastAsia="fr-FR"/>
        </w:rPr>
        <w:t xml:space="preserve"> 2004</w:t>
      </w:r>
      <w:r>
        <w:rPr>
          <w:rFonts w:ascii="CenturySchoolbook" w:hAnsi="CenturySchoolbook" w:cs="CenturySchoolbook"/>
          <w:color w:val="000000"/>
          <w:lang w:eastAsia="fr-FR"/>
        </w:rPr>
        <w:t>),</w:t>
      </w:r>
    </w:p>
    <w:p w:rsidR="00B01632" w:rsidRDefault="00B01632" w:rsidP="00B01632">
      <w:pPr>
        <w:pStyle w:val="Paragraphedeliste"/>
        <w:numPr>
          <w:ilvl w:val="0"/>
          <w:numId w:val="2"/>
        </w:numPr>
        <w:autoSpaceDE w:val="0"/>
        <w:autoSpaceDN w:val="0"/>
        <w:adjustRightInd w:val="0"/>
        <w:spacing w:after="0" w:line="240" w:lineRule="auto"/>
        <w:rPr>
          <w:rFonts w:ascii="CenturySchoolbook" w:hAnsi="CenturySchoolbook" w:cs="CenturySchoolbook"/>
          <w:color w:val="000000"/>
          <w:lang w:eastAsia="fr-FR"/>
        </w:rPr>
      </w:pPr>
      <w:r w:rsidRPr="00B01632">
        <w:rPr>
          <w:rFonts w:ascii="SymbolMT" w:eastAsia="SymbolMT" w:hAnsi="CenturySchoolbook" w:cs="SymbolMT"/>
          <w:color w:val="000000"/>
          <w:lang w:eastAsia="fr-FR"/>
        </w:rPr>
        <w:t xml:space="preserve"> </w:t>
      </w:r>
      <w:r w:rsidRPr="00B01632">
        <w:rPr>
          <w:rFonts w:ascii="CenturySchoolbook" w:hAnsi="CenturySchoolbook" w:cs="CenturySchoolbook"/>
          <w:color w:val="000000"/>
          <w:lang w:eastAsia="fr-FR"/>
        </w:rPr>
        <w:t>les propriétés magnétiques (</w:t>
      </w:r>
      <w:proofErr w:type="spellStart"/>
      <w:r w:rsidRPr="00B01632">
        <w:rPr>
          <w:rFonts w:ascii="CenturySchoolbook" w:hAnsi="CenturySchoolbook" w:cs="CenturySchoolbook"/>
          <w:color w:val="0000FF"/>
          <w:lang w:eastAsia="fr-FR"/>
        </w:rPr>
        <w:t>Lapovok</w:t>
      </w:r>
      <w:proofErr w:type="spellEnd"/>
      <w:r w:rsidRPr="00B01632">
        <w:rPr>
          <w:rFonts w:ascii="CenturySchoolbook" w:hAnsi="CenturySchoolbook" w:cs="CenturySchoolbook"/>
          <w:color w:val="0000FF"/>
          <w:lang w:eastAsia="fr-FR"/>
        </w:rPr>
        <w:t xml:space="preserve"> </w:t>
      </w:r>
      <w:r w:rsidRPr="00B01632">
        <w:rPr>
          <w:rFonts w:ascii="CenturySchoolbook-Italic" w:hAnsi="CenturySchoolbook-Italic" w:cs="CenturySchoolbook-Italic"/>
          <w:i/>
          <w:iCs/>
          <w:color w:val="0000FF"/>
          <w:lang w:eastAsia="fr-FR"/>
        </w:rPr>
        <w:t xml:space="preserve">et </w:t>
      </w:r>
      <w:proofErr w:type="gramStart"/>
      <w:r w:rsidRPr="00B01632">
        <w:rPr>
          <w:rFonts w:ascii="CenturySchoolbook-Italic" w:hAnsi="CenturySchoolbook-Italic" w:cs="CenturySchoolbook-Italic"/>
          <w:i/>
          <w:iCs/>
          <w:color w:val="0000FF"/>
          <w:lang w:eastAsia="fr-FR"/>
        </w:rPr>
        <w:t>al.</w:t>
      </w:r>
      <w:r w:rsidRPr="00B01632">
        <w:rPr>
          <w:rFonts w:ascii="CenturySchoolbook" w:hAnsi="CenturySchoolbook" w:cs="CenturySchoolbook"/>
          <w:color w:val="0000FF"/>
          <w:lang w:eastAsia="fr-FR"/>
        </w:rPr>
        <w:t>,</w:t>
      </w:r>
      <w:proofErr w:type="gramEnd"/>
      <w:r w:rsidRPr="00B01632">
        <w:rPr>
          <w:rFonts w:ascii="CenturySchoolbook" w:hAnsi="CenturySchoolbook" w:cs="CenturySchoolbook"/>
          <w:color w:val="0000FF"/>
          <w:lang w:eastAsia="fr-FR"/>
        </w:rPr>
        <w:t xml:space="preserve"> 2010</w:t>
      </w:r>
      <w:r w:rsidRPr="00B01632">
        <w:rPr>
          <w:rFonts w:ascii="CenturySchoolbook" w:hAnsi="CenturySchoolbook" w:cs="CenturySchoolbook"/>
          <w:color w:val="000000"/>
          <w:lang w:eastAsia="fr-FR"/>
        </w:rPr>
        <w:t>).</w:t>
      </w:r>
    </w:p>
    <w:p w:rsidR="0054326F" w:rsidRDefault="0054326F" w:rsidP="00B01632">
      <w:pPr>
        <w:autoSpaceDE w:val="0"/>
        <w:autoSpaceDN w:val="0"/>
        <w:adjustRightInd w:val="0"/>
        <w:spacing w:after="0" w:line="240" w:lineRule="auto"/>
        <w:rPr>
          <w:rFonts w:ascii="CenturySchoolbook" w:hAnsi="CenturySchoolbook" w:cs="CenturySchoolbook"/>
          <w:color w:val="000000"/>
          <w:lang w:eastAsia="fr-FR"/>
        </w:rPr>
      </w:pPr>
    </w:p>
    <w:p w:rsidR="0054326F" w:rsidRDefault="0054326F" w:rsidP="00B01632">
      <w:pPr>
        <w:autoSpaceDE w:val="0"/>
        <w:autoSpaceDN w:val="0"/>
        <w:adjustRightInd w:val="0"/>
        <w:spacing w:after="0" w:line="240" w:lineRule="auto"/>
        <w:rPr>
          <w:rFonts w:ascii="CenturySchoolbook" w:hAnsi="CenturySchoolbook" w:cs="CenturySchoolbook"/>
          <w:color w:val="000000"/>
          <w:lang w:eastAsia="fr-FR"/>
        </w:rPr>
      </w:pPr>
    </w:p>
    <w:p w:rsidR="0054326F" w:rsidRDefault="0054326F" w:rsidP="00B01632">
      <w:pPr>
        <w:autoSpaceDE w:val="0"/>
        <w:autoSpaceDN w:val="0"/>
        <w:adjustRightInd w:val="0"/>
        <w:spacing w:after="0" w:line="240" w:lineRule="auto"/>
        <w:rPr>
          <w:rFonts w:ascii="CenturySchoolbook" w:hAnsi="CenturySchoolbook" w:cs="CenturySchoolbook"/>
          <w:color w:val="000000"/>
          <w:lang w:eastAsia="fr-FR"/>
        </w:rPr>
      </w:pPr>
    </w:p>
    <w:p w:rsidR="00B01632" w:rsidRPr="00221372" w:rsidRDefault="0054326F" w:rsidP="00B01632">
      <w:pPr>
        <w:autoSpaceDE w:val="0"/>
        <w:autoSpaceDN w:val="0"/>
        <w:adjustRightInd w:val="0"/>
        <w:spacing w:after="0" w:line="240" w:lineRule="auto"/>
        <w:rPr>
          <w:rFonts w:asciiTheme="minorBidi" w:hAnsiTheme="minorBidi" w:cstheme="minorBidi"/>
          <w:color w:val="000000"/>
          <w:sz w:val="24"/>
          <w:szCs w:val="24"/>
          <w:lang w:eastAsia="fr-FR"/>
        </w:rPr>
      </w:pPr>
      <w:r w:rsidRPr="00221372">
        <w:rPr>
          <w:rFonts w:asciiTheme="minorBidi" w:hAnsiTheme="minorBidi" w:cstheme="minorBidi"/>
          <w:color w:val="000000"/>
          <w:sz w:val="24"/>
          <w:szCs w:val="24"/>
          <w:lang w:eastAsia="fr-FR"/>
        </w:rPr>
        <w:t>Reference :</w:t>
      </w:r>
    </w:p>
    <w:p w:rsidR="0054326F" w:rsidRPr="00221372" w:rsidRDefault="0054326F" w:rsidP="0054326F">
      <w:pPr>
        <w:autoSpaceDE w:val="0"/>
        <w:autoSpaceDN w:val="0"/>
        <w:adjustRightInd w:val="0"/>
        <w:spacing w:after="0" w:line="240" w:lineRule="auto"/>
        <w:rPr>
          <w:rFonts w:asciiTheme="minorBidi" w:hAnsiTheme="minorBidi" w:cstheme="minorBidi"/>
          <w:sz w:val="24"/>
          <w:szCs w:val="24"/>
          <w:lang w:eastAsia="fr-FR"/>
        </w:rPr>
      </w:pPr>
      <w:r w:rsidRPr="00221372">
        <w:rPr>
          <w:rFonts w:asciiTheme="minorBidi" w:hAnsiTheme="minorBidi" w:cstheme="minorBidi"/>
          <w:sz w:val="24"/>
          <w:szCs w:val="24"/>
          <w:lang w:eastAsia="fr-FR"/>
        </w:rPr>
        <w:t>Affinement de microstructures de mé</w:t>
      </w:r>
      <w:r w:rsidRPr="00221372">
        <w:rPr>
          <w:rFonts w:asciiTheme="minorBidi" w:hAnsiTheme="minorBidi" w:cstheme="minorBidi"/>
          <w:sz w:val="24"/>
          <w:szCs w:val="24"/>
          <w:lang w:eastAsia="fr-FR"/>
        </w:rPr>
        <w:t xml:space="preserve">taux par des </w:t>
      </w:r>
      <w:r w:rsidRPr="00221372">
        <w:rPr>
          <w:rFonts w:asciiTheme="minorBidi" w:hAnsiTheme="minorBidi" w:cstheme="minorBidi"/>
          <w:sz w:val="24"/>
          <w:szCs w:val="24"/>
          <w:lang w:eastAsia="fr-FR"/>
        </w:rPr>
        <w:t>déformations plastiques extrêmes</w:t>
      </w:r>
    </w:p>
    <w:p w:rsidR="0054326F" w:rsidRPr="00221372" w:rsidRDefault="0054326F" w:rsidP="00221372">
      <w:pPr>
        <w:autoSpaceDE w:val="0"/>
        <w:autoSpaceDN w:val="0"/>
        <w:adjustRightInd w:val="0"/>
        <w:spacing w:after="0" w:line="240" w:lineRule="auto"/>
        <w:rPr>
          <w:rFonts w:ascii="Times New Roman" w:hAnsi="Times New Roman" w:cs="Times New Roman"/>
          <w:sz w:val="24"/>
          <w:szCs w:val="24"/>
          <w:lang w:eastAsia="fr-FR"/>
        </w:rPr>
      </w:pPr>
      <w:r w:rsidRPr="00221372">
        <w:rPr>
          <w:rFonts w:asciiTheme="minorBidi" w:hAnsiTheme="minorBidi" w:cstheme="minorBidi"/>
          <w:sz w:val="24"/>
          <w:szCs w:val="24"/>
          <w:lang w:eastAsia="fr-FR"/>
        </w:rPr>
        <w:t xml:space="preserve">Arnaud </w:t>
      </w:r>
      <w:proofErr w:type="spellStart"/>
      <w:r w:rsidRPr="00221372">
        <w:rPr>
          <w:rFonts w:asciiTheme="minorBidi" w:hAnsiTheme="minorBidi" w:cstheme="minorBidi"/>
          <w:sz w:val="24"/>
          <w:szCs w:val="24"/>
          <w:lang w:eastAsia="fr-FR"/>
        </w:rPr>
        <w:t>Pougis</w:t>
      </w:r>
      <w:proofErr w:type="spellEnd"/>
      <w:r w:rsidRPr="00221372">
        <w:rPr>
          <w:rFonts w:asciiTheme="minorBidi" w:hAnsiTheme="minorBidi" w:cstheme="minorBidi"/>
          <w:sz w:val="24"/>
          <w:szCs w:val="24"/>
          <w:lang w:eastAsia="fr-FR"/>
        </w:rPr>
        <w:t>,</w:t>
      </w:r>
      <w:r w:rsidR="00221372" w:rsidRPr="00221372">
        <w:rPr>
          <w:rFonts w:ascii="Times New Roman" w:hAnsi="Times New Roman" w:cs="Times New Roman"/>
          <w:sz w:val="24"/>
          <w:szCs w:val="24"/>
          <w:lang w:eastAsia="fr-FR"/>
        </w:rPr>
        <w:t xml:space="preserve"> </w:t>
      </w:r>
      <w:r w:rsidR="00221372" w:rsidRPr="00221372">
        <w:rPr>
          <w:rFonts w:asciiTheme="minorBidi" w:hAnsiTheme="minorBidi" w:cstheme="minorBidi"/>
          <w:sz w:val="24"/>
          <w:szCs w:val="24"/>
          <w:lang w:eastAsia="fr-FR"/>
        </w:rPr>
        <w:t>docteur de l’université de lorraine</w:t>
      </w:r>
      <w:r w:rsidR="00221372" w:rsidRPr="00221372">
        <w:rPr>
          <w:rFonts w:ascii="Times New Roman" w:hAnsi="Times New Roman" w:cs="Times New Roman"/>
          <w:sz w:val="24"/>
          <w:szCs w:val="24"/>
          <w:lang w:eastAsia="fr-FR"/>
        </w:rPr>
        <w:t xml:space="preserve">, </w:t>
      </w:r>
      <w:r w:rsidR="00221372" w:rsidRPr="00221372">
        <w:rPr>
          <w:rFonts w:ascii="CenturySchoolbook" w:hAnsi="CenturySchoolbook" w:cs="CenturySchoolbook"/>
          <w:sz w:val="24"/>
          <w:szCs w:val="24"/>
          <w:lang w:eastAsia="fr-FR"/>
        </w:rPr>
        <w:t>Spécialité : Sciences des Matériaux</w:t>
      </w:r>
      <w:r w:rsidRPr="00221372">
        <w:rPr>
          <w:rFonts w:asciiTheme="minorBidi" w:hAnsiTheme="minorBidi" w:cstheme="minorBidi"/>
          <w:sz w:val="24"/>
          <w:szCs w:val="24"/>
          <w:lang w:eastAsia="fr-FR"/>
        </w:rPr>
        <w:t xml:space="preserve"> </w:t>
      </w:r>
      <w:r w:rsidRPr="00221372">
        <w:rPr>
          <w:rFonts w:asciiTheme="minorBidi" w:hAnsiTheme="minorBidi" w:cstheme="minorBidi"/>
          <w:sz w:val="24"/>
          <w:szCs w:val="24"/>
          <w:lang w:eastAsia="fr-FR"/>
        </w:rPr>
        <w:t>https://hal.univ-lorraine.fr/tel-01750798</w:t>
      </w:r>
    </w:p>
    <w:p w:rsidR="0054326F" w:rsidRPr="00221372" w:rsidRDefault="0054326F" w:rsidP="0054326F">
      <w:pPr>
        <w:autoSpaceDE w:val="0"/>
        <w:autoSpaceDN w:val="0"/>
        <w:adjustRightInd w:val="0"/>
        <w:spacing w:after="0" w:line="240" w:lineRule="auto"/>
        <w:rPr>
          <w:rFonts w:asciiTheme="minorBidi" w:hAnsiTheme="minorBidi" w:cstheme="minorBidi"/>
          <w:sz w:val="24"/>
          <w:szCs w:val="24"/>
          <w:lang w:eastAsia="fr-FR"/>
        </w:rPr>
      </w:pPr>
      <w:proofErr w:type="spellStart"/>
      <w:r w:rsidRPr="00221372">
        <w:rPr>
          <w:rFonts w:asciiTheme="minorBidi" w:hAnsiTheme="minorBidi" w:cstheme="minorBidi"/>
          <w:sz w:val="24"/>
          <w:szCs w:val="24"/>
          <w:lang w:eastAsia="fr-FR"/>
        </w:rPr>
        <w:t>Submitted</w:t>
      </w:r>
      <w:proofErr w:type="spellEnd"/>
      <w:r w:rsidRPr="00221372">
        <w:rPr>
          <w:rFonts w:asciiTheme="minorBidi" w:hAnsiTheme="minorBidi" w:cstheme="minorBidi"/>
          <w:sz w:val="24"/>
          <w:szCs w:val="24"/>
          <w:lang w:eastAsia="fr-FR"/>
        </w:rPr>
        <w:t xml:space="preserve"> on 29 </w:t>
      </w:r>
      <w:bookmarkStart w:id="0" w:name="_GoBack"/>
      <w:bookmarkEnd w:id="0"/>
      <w:r w:rsidRPr="00221372">
        <w:rPr>
          <w:rFonts w:asciiTheme="minorBidi" w:hAnsiTheme="minorBidi" w:cstheme="minorBidi"/>
          <w:sz w:val="24"/>
          <w:szCs w:val="24"/>
          <w:lang w:eastAsia="fr-FR"/>
        </w:rPr>
        <w:t>Mar 2018</w:t>
      </w:r>
      <w:r w:rsidRPr="00221372">
        <w:rPr>
          <w:rFonts w:asciiTheme="minorBidi" w:hAnsiTheme="minorBidi" w:cstheme="minorBidi"/>
          <w:sz w:val="24"/>
          <w:szCs w:val="24"/>
          <w:lang w:eastAsia="fr-FR"/>
        </w:rPr>
        <w:t>.</w:t>
      </w:r>
    </w:p>
    <w:sectPr w:rsidR="0054326F" w:rsidRPr="0022137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MT">
    <w:altName w:val="Arial Unicode MS"/>
    <w:panose1 w:val="00000000000000000000"/>
    <w:charset w:val="88"/>
    <w:family w:val="auto"/>
    <w:notTrueType/>
    <w:pitch w:val="default"/>
    <w:sig w:usb0="00000001" w:usb1="08080000" w:usb2="00000010" w:usb3="00000000" w:csb0="00100000" w:csb1="00000000"/>
  </w:font>
  <w:font w:name="CenturySchoolbook-Bold">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Schoolbook">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Schoolbook-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B580A"/>
    <w:multiLevelType w:val="hybridMultilevel"/>
    <w:tmpl w:val="8A4E6438"/>
    <w:lvl w:ilvl="0" w:tplc="3036D37A">
      <w:start w:val="1"/>
      <w:numFmt w:val="bullet"/>
      <w:lvlText w:val="-"/>
      <w:lvlJc w:val="left"/>
      <w:pPr>
        <w:ind w:left="720" w:hanging="360"/>
      </w:pPr>
      <w:rPr>
        <w:rFonts w:ascii="SymbolMT" w:eastAsia="SymbolMT" w:hAnsi="CenturySchoolbook-Bold" w:cs="SymbolMT" w:hint="eastAsia"/>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4C623C7"/>
    <w:multiLevelType w:val="hybridMultilevel"/>
    <w:tmpl w:val="31C846C4"/>
    <w:lvl w:ilvl="0" w:tplc="BAE8C946">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2FF"/>
    <w:rsid w:val="00221372"/>
    <w:rsid w:val="002A56FA"/>
    <w:rsid w:val="003A55D8"/>
    <w:rsid w:val="003D4EC8"/>
    <w:rsid w:val="0054326F"/>
    <w:rsid w:val="00552E7A"/>
    <w:rsid w:val="005F726B"/>
    <w:rsid w:val="006048C2"/>
    <w:rsid w:val="007C41AF"/>
    <w:rsid w:val="00AE28A4"/>
    <w:rsid w:val="00B01632"/>
    <w:rsid w:val="00BD1E3D"/>
    <w:rsid w:val="00C83C1B"/>
    <w:rsid w:val="00D0682E"/>
    <w:rsid w:val="00EC4629"/>
    <w:rsid w:val="00F712F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23D25"/>
  <w15:chartTrackingRefBased/>
  <w15:docId w15:val="{BB3BFBDD-D1F0-413D-93CC-4498D04A7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3D4EC8"/>
    <w:rPr>
      <w:color w:val="808080"/>
    </w:rPr>
  </w:style>
  <w:style w:type="paragraph" w:styleId="Paragraphedeliste">
    <w:name w:val="List Paragraph"/>
    <w:basedOn w:val="Normal"/>
    <w:uiPriority w:val="34"/>
    <w:qFormat/>
    <w:rsid w:val="003D4EC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 Type="http://schemas.openxmlformats.org/officeDocument/2006/relationships/styles" Target="styles.xml"/><Relationship Id="rId21"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8A899-5F4C-4D8C-8083-EC52AF53F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14</Pages>
  <Words>4312</Words>
  <Characters>23719</Characters>
  <Application>Microsoft Office Word</Application>
  <DocSecurity>0</DocSecurity>
  <Lines>197</Lines>
  <Paragraphs>55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27976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Compte Microsoft</dc:creator>
  <cp:keywords/>
  <dc:description/>
  <cp:lastModifiedBy>Compte Microsoft</cp:lastModifiedBy>
  <cp:revision>7</cp:revision>
  <dcterms:created xsi:type="dcterms:W3CDTF">2021-03-10T21:07:00Z</dcterms:created>
  <dcterms:modified xsi:type="dcterms:W3CDTF">2021-03-10T22:01:00Z</dcterms:modified>
</cp:coreProperties>
</file>